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CCD" w:rsidRDefault="000B0CCD" w:rsidP="000B0CCD">
      <w:pPr>
        <w:jc w:val="center"/>
      </w:pPr>
      <w:r>
        <w:rPr>
          <w:noProof/>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-28575</wp:posOffset>
            </wp:positionV>
            <wp:extent cx="609600" cy="609600"/>
            <wp:effectExtent l="19050" t="0" r="0" b="0"/>
            <wp:wrapTight wrapText="bothSides">
              <wp:wrapPolygon edited="0">
                <wp:start x="-675" y="0"/>
                <wp:lineTo x="-675" y="20925"/>
                <wp:lineTo x="21600" y="20925"/>
                <wp:lineTo x="21600" y="0"/>
                <wp:lineTo x="-675" y="0"/>
              </wp:wrapPolygon>
            </wp:wrapTight>
            <wp:docPr id="5" name="Picture 1" descr="http://staticapp.icpsc.com/icp/loadimage.php/mogile/832637/209a40e5d9b5c685b1bd61c087a3661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app.icpsc.com/icp/loadimage.php/mogile/832637/209a40e5d9b5c685b1bd61c087a3661e/image/png"/>
                    <pic:cNvPicPr>
                      <a:picLocks noChangeAspect="1" noChangeArrowheads="1"/>
                    </pic:cNvPicPr>
                  </pic:nvPicPr>
                  <pic:blipFill>
                    <a:blip r:embed="rId7"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p>
    <w:p w:rsidR="000B0CCD" w:rsidRDefault="000B0CCD" w:rsidP="000B0CCD">
      <w:pPr>
        <w:pStyle w:val="EnvelopeReturn"/>
        <w:jc w:val="center"/>
      </w:pPr>
    </w:p>
    <w:p w:rsidR="000B0CCD" w:rsidRDefault="000B0CCD" w:rsidP="000B0CCD">
      <w:pPr>
        <w:pStyle w:val="EnvelopeReturn"/>
        <w:jc w:val="center"/>
      </w:pPr>
    </w:p>
    <w:p w:rsidR="000B0CCD" w:rsidRDefault="000B0CCD" w:rsidP="000B0CCD">
      <w:pPr>
        <w:pStyle w:val="EnvelopeReturn"/>
        <w:jc w:val="center"/>
      </w:pPr>
    </w:p>
    <w:p w:rsidR="000B0CCD" w:rsidRPr="006C0D0F" w:rsidRDefault="000B0CCD" w:rsidP="000B0CCD">
      <w:pPr>
        <w:pStyle w:val="EnvelopeReturn"/>
        <w:jc w:val="center"/>
        <w:rPr>
          <w:sz w:val="28"/>
          <w:szCs w:val="28"/>
        </w:rPr>
      </w:pPr>
      <w:r w:rsidRPr="006C0D0F">
        <w:rPr>
          <w:sz w:val="28"/>
          <w:szCs w:val="28"/>
        </w:rPr>
        <w:t>Trustees of Trust Funds</w:t>
      </w:r>
    </w:p>
    <w:p w:rsidR="000B0CCD" w:rsidRPr="006C0D0F" w:rsidRDefault="000B0CCD" w:rsidP="000B0CCD">
      <w:pPr>
        <w:pStyle w:val="EnvelopeReturn"/>
        <w:jc w:val="center"/>
        <w:rPr>
          <w:sz w:val="24"/>
          <w:szCs w:val="24"/>
        </w:rPr>
      </w:pPr>
      <w:r w:rsidRPr="006C0D0F">
        <w:rPr>
          <w:sz w:val="24"/>
          <w:szCs w:val="24"/>
        </w:rPr>
        <w:t>Town of Durham</w:t>
      </w:r>
    </w:p>
    <w:p w:rsidR="000B0CCD" w:rsidRPr="006C0D0F" w:rsidRDefault="00206FA3" w:rsidP="000B0CCD">
      <w:pPr>
        <w:pStyle w:val="EnvelopeReturn"/>
        <w:jc w:val="center"/>
        <w:rPr>
          <w:sz w:val="24"/>
          <w:szCs w:val="24"/>
        </w:rPr>
      </w:pPr>
      <w:r w:rsidRPr="006C0D0F">
        <w:rPr>
          <w:sz w:val="24"/>
          <w:szCs w:val="24"/>
        </w:rPr>
        <w:t>8</w:t>
      </w:r>
      <w:r w:rsidR="000B0CCD" w:rsidRPr="006C0D0F">
        <w:rPr>
          <w:sz w:val="24"/>
          <w:szCs w:val="24"/>
        </w:rPr>
        <w:t xml:space="preserve"> </w:t>
      </w:r>
      <w:proofErr w:type="spellStart"/>
      <w:r w:rsidR="000B0CCD" w:rsidRPr="006C0D0F">
        <w:rPr>
          <w:sz w:val="24"/>
          <w:szCs w:val="24"/>
        </w:rPr>
        <w:t>Newmarket</w:t>
      </w:r>
      <w:proofErr w:type="spellEnd"/>
      <w:r w:rsidR="000B0CCD" w:rsidRPr="006C0D0F">
        <w:rPr>
          <w:sz w:val="24"/>
          <w:szCs w:val="24"/>
        </w:rPr>
        <w:t xml:space="preserve"> Road</w:t>
      </w:r>
    </w:p>
    <w:p w:rsidR="000B0CCD" w:rsidRPr="006C0D0F" w:rsidRDefault="000B0CCD" w:rsidP="000B0CCD">
      <w:pPr>
        <w:pStyle w:val="EnvelopeReturn"/>
        <w:jc w:val="center"/>
        <w:rPr>
          <w:sz w:val="24"/>
          <w:szCs w:val="24"/>
        </w:rPr>
      </w:pPr>
      <w:r w:rsidRPr="006C0D0F">
        <w:rPr>
          <w:sz w:val="24"/>
          <w:szCs w:val="24"/>
        </w:rPr>
        <w:t>Durham, NH 03824</w:t>
      </w:r>
    </w:p>
    <w:p w:rsidR="000B0CCD" w:rsidRDefault="000B0CCD" w:rsidP="000B0CCD">
      <w:pPr>
        <w:pStyle w:val="EnvelopeReturn"/>
        <w:jc w:val="center"/>
      </w:pPr>
    </w:p>
    <w:p w:rsidR="006C0D0F" w:rsidRDefault="006C0D0F" w:rsidP="006C0D0F">
      <w:pPr>
        <w:rPr>
          <w:rFonts w:cs="Arial"/>
          <w:szCs w:val="22"/>
        </w:rPr>
      </w:pPr>
    </w:p>
    <w:p w:rsidR="006C0D0F" w:rsidRPr="006C0D0F" w:rsidRDefault="006C0D0F" w:rsidP="006C0D0F">
      <w:pPr>
        <w:jc w:val="center"/>
        <w:rPr>
          <w:rFonts w:cs="Arial"/>
          <w:sz w:val="24"/>
          <w:szCs w:val="24"/>
        </w:rPr>
      </w:pPr>
      <w:r w:rsidRPr="006C0D0F">
        <w:rPr>
          <w:rFonts w:cs="Arial"/>
          <w:sz w:val="24"/>
          <w:szCs w:val="24"/>
        </w:rPr>
        <w:t>INVESTMENT POLICY</w:t>
      </w:r>
    </w:p>
    <w:p w:rsidR="006C0D0F" w:rsidRDefault="006C0D0F" w:rsidP="006C0D0F">
      <w:pPr>
        <w:rPr>
          <w:rFonts w:cs="Arial"/>
          <w:szCs w:val="22"/>
        </w:rPr>
      </w:pPr>
    </w:p>
    <w:p w:rsidR="006C0D0F" w:rsidRDefault="006C0D0F" w:rsidP="006C0D0F">
      <w:pPr>
        <w:rPr>
          <w:rFonts w:cs="Arial"/>
          <w:szCs w:val="22"/>
        </w:rPr>
      </w:pPr>
    </w:p>
    <w:p w:rsidR="006C0D0F" w:rsidRPr="00873255" w:rsidRDefault="006C0D0F" w:rsidP="006C0D0F">
      <w:pPr>
        <w:rPr>
          <w:rFonts w:cs="Arial"/>
          <w:szCs w:val="22"/>
        </w:rPr>
      </w:pPr>
      <w:r>
        <w:rPr>
          <w:rFonts w:cs="Arial"/>
          <w:szCs w:val="22"/>
        </w:rPr>
        <w:t>PURPOSE</w:t>
      </w:r>
    </w:p>
    <w:p w:rsidR="006C0D0F" w:rsidRPr="00873255" w:rsidRDefault="006C0D0F" w:rsidP="006C0D0F">
      <w:pPr>
        <w:rPr>
          <w:rFonts w:cs="Arial"/>
          <w:szCs w:val="22"/>
        </w:rPr>
      </w:pPr>
    </w:p>
    <w:p w:rsidR="006C0D0F" w:rsidRPr="00873255" w:rsidRDefault="006C0D0F" w:rsidP="006C0D0F">
      <w:pPr>
        <w:rPr>
          <w:rFonts w:cs="Arial"/>
          <w:szCs w:val="22"/>
        </w:rPr>
      </w:pPr>
      <w:r w:rsidRPr="00873255">
        <w:rPr>
          <w:rFonts w:cs="Arial"/>
          <w:szCs w:val="22"/>
        </w:rPr>
        <w:t xml:space="preserve">This policy governs the </w:t>
      </w:r>
      <w:r>
        <w:rPr>
          <w:rFonts w:cs="Arial"/>
          <w:szCs w:val="22"/>
        </w:rPr>
        <w:t xml:space="preserve">administration and </w:t>
      </w:r>
      <w:r w:rsidRPr="00873255">
        <w:rPr>
          <w:rFonts w:cs="Arial"/>
          <w:szCs w:val="22"/>
        </w:rPr>
        <w:t>investment of funds in the custody of the Trustees of Trust Funds of the Town of Durham</w:t>
      </w:r>
      <w:r>
        <w:rPr>
          <w:rFonts w:cs="Arial"/>
          <w:szCs w:val="22"/>
        </w:rPr>
        <w:t>, NH</w:t>
      </w:r>
      <w:r w:rsidRPr="00873255">
        <w:rPr>
          <w:rFonts w:cs="Arial"/>
          <w:szCs w:val="22"/>
        </w:rPr>
        <w:t xml:space="preserve">.  </w:t>
      </w:r>
    </w:p>
    <w:p w:rsidR="006C0D0F" w:rsidRPr="00873255" w:rsidRDefault="006C0D0F" w:rsidP="006C0D0F">
      <w:pPr>
        <w:rPr>
          <w:rFonts w:cs="Arial"/>
          <w:szCs w:val="22"/>
        </w:rPr>
      </w:pPr>
    </w:p>
    <w:p w:rsidR="006C0D0F" w:rsidRPr="00873255" w:rsidRDefault="006C0D0F" w:rsidP="006C0D0F">
      <w:pPr>
        <w:rPr>
          <w:rFonts w:cs="Arial"/>
          <w:szCs w:val="22"/>
        </w:rPr>
      </w:pPr>
      <w:r w:rsidRPr="00873255">
        <w:rPr>
          <w:rFonts w:cs="Arial"/>
          <w:szCs w:val="22"/>
        </w:rPr>
        <w:t xml:space="preserve">The Trustees will manage the funds in their custody in accordance with the Prudent Investor Rule as referenced in RSA 31:25-d and in RSA 564-B:9-901 through </w:t>
      </w:r>
      <w:r>
        <w:rPr>
          <w:rFonts w:cs="Arial"/>
          <w:szCs w:val="22"/>
        </w:rPr>
        <w:t>-</w:t>
      </w:r>
      <w:r w:rsidRPr="00873255">
        <w:rPr>
          <w:rFonts w:cs="Arial"/>
          <w:szCs w:val="22"/>
        </w:rPr>
        <w:t xml:space="preserve">906:  </w:t>
      </w:r>
    </w:p>
    <w:p w:rsidR="006C0D0F" w:rsidRPr="00873255" w:rsidRDefault="006C0D0F" w:rsidP="006C0D0F">
      <w:pPr>
        <w:ind w:left="720"/>
        <w:rPr>
          <w:rFonts w:cs="Arial"/>
          <w:szCs w:val="22"/>
        </w:rPr>
      </w:pPr>
      <w:r w:rsidRPr="00873255">
        <w:rPr>
          <w:rFonts w:cs="Arial"/>
          <w:szCs w:val="22"/>
        </w:rPr>
        <w:t>“In general, the Trustees shall invest and manage trust assets as a prudent investor would, by considering the purposes, terms, distribution requirements, and other circumstances of the trust. In satisfying this standard, the trustee shall exercise reasonable care, skill, and caution.    A trustee's investment and management decisions respecting individual assets must be evaluated not in isolation but in the context of the trust portfolio as a whole and as a part of an overall investment strategy having risk and return objectives reasonably suited to the trust.</w:t>
      </w:r>
      <w:r>
        <w:rPr>
          <w:rFonts w:cs="Arial"/>
          <w:szCs w:val="22"/>
        </w:rPr>
        <w:t>”</w:t>
      </w:r>
      <w:r w:rsidRPr="00873255">
        <w:rPr>
          <w:rFonts w:cs="Arial"/>
          <w:szCs w:val="22"/>
        </w:rPr>
        <w:t xml:space="preserve"> </w:t>
      </w:r>
    </w:p>
    <w:p w:rsidR="006C0D0F" w:rsidRPr="00873255" w:rsidRDefault="006C0D0F" w:rsidP="006C0D0F">
      <w:pPr>
        <w:rPr>
          <w:rFonts w:cs="Arial"/>
          <w:szCs w:val="22"/>
        </w:rPr>
      </w:pPr>
    </w:p>
    <w:p w:rsidR="006C0D0F" w:rsidRPr="00873255" w:rsidRDefault="006C0D0F" w:rsidP="006C0D0F">
      <w:pPr>
        <w:rPr>
          <w:rFonts w:cs="Arial"/>
          <w:szCs w:val="22"/>
        </w:rPr>
      </w:pPr>
      <w:r w:rsidRPr="00873255">
        <w:rPr>
          <w:rFonts w:cs="Arial"/>
          <w:szCs w:val="22"/>
        </w:rPr>
        <w:t>The Trustees will employ an investment advisor to assist in the management of the funds in their custody as required by RSA 31:25-d and explicated in RSA 31:38-a.  Fees for the investment advisor’s services will be charged against the trust funds involved as provided in RSA 31:38-aIV</w:t>
      </w:r>
      <w:r>
        <w:rPr>
          <w:rFonts w:cs="Arial"/>
          <w:szCs w:val="22"/>
        </w:rPr>
        <w:t xml:space="preserve"> and authorized by Durham Town Council Resolution #2014-14</w:t>
      </w:r>
      <w:r w:rsidRPr="00873255">
        <w:rPr>
          <w:rFonts w:cs="Arial"/>
          <w:szCs w:val="22"/>
        </w:rPr>
        <w:t xml:space="preserve">. </w:t>
      </w:r>
    </w:p>
    <w:p w:rsidR="006C0D0F" w:rsidRPr="00873255" w:rsidRDefault="006C0D0F" w:rsidP="006C0D0F">
      <w:pPr>
        <w:rPr>
          <w:rFonts w:cs="Arial"/>
          <w:szCs w:val="22"/>
        </w:rPr>
      </w:pPr>
    </w:p>
    <w:p w:rsidR="006C0D0F" w:rsidRPr="00873255" w:rsidRDefault="006C0D0F" w:rsidP="006C0D0F">
      <w:pPr>
        <w:rPr>
          <w:rFonts w:cs="Arial"/>
          <w:szCs w:val="22"/>
        </w:rPr>
      </w:pPr>
      <w:r w:rsidRPr="00873255">
        <w:rPr>
          <w:rFonts w:cs="Arial"/>
          <w:szCs w:val="22"/>
        </w:rPr>
        <w:t xml:space="preserve">The funds under Trustee custody are categorized by source, as </w:t>
      </w:r>
      <w:r>
        <w:rPr>
          <w:rFonts w:cs="Arial"/>
          <w:szCs w:val="22"/>
        </w:rPr>
        <w:t xml:space="preserve">shown in </w:t>
      </w:r>
      <w:r w:rsidRPr="00873255">
        <w:rPr>
          <w:rFonts w:cs="Arial"/>
          <w:szCs w:val="22"/>
        </w:rPr>
        <w:t>NH statutes, as follows:</w:t>
      </w:r>
    </w:p>
    <w:p w:rsidR="006C0D0F" w:rsidRPr="00873255" w:rsidRDefault="006C0D0F" w:rsidP="006C0D0F">
      <w:pPr>
        <w:pStyle w:val="ListParagraph"/>
        <w:numPr>
          <w:ilvl w:val="0"/>
          <w:numId w:val="1"/>
        </w:numPr>
        <w:rPr>
          <w:rFonts w:ascii="Arial" w:hAnsi="Arial" w:cs="Arial"/>
          <w:sz w:val="22"/>
          <w:szCs w:val="22"/>
        </w:rPr>
      </w:pPr>
      <w:r w:rsidRPr="00873255">
        <w:rPr>
          <w:rFonts w:ascii="Arial" w:hAnsi="Arial" w:cs="Arial"/>
          <w:sz w:val="22"/>
          <w:szCs w:val="22"/>
        </w:rPr>
        <w:t>Appropriated funds - RSA 31:19 and 31:19-a, and RSA 35:1 through 35:10 inclusive.</w:t>
      </w:r>
    </w:p>
    <w:p w:rsidR="006C0D0F" w:rsidRPr="00873255" w:rsidRDefault="006C0D0F" w:rsidP="006C0D0F">
      <w:pPr>
        <w:pStyle w:val="ListParagraph"/>
        <w:numPr>
          <w:ilvl w:val="0"/>
          <w:numId w:val="2"/>
        </w:numPr>
        <w:rPr>
          <w:rFonts w:ascii="Arial" w:hAnsi="Arial" w:cs="Arial"/>
          <w:sz w:val="22"/>
          <w:szCs w:val="22"/>
        </w:rPr>
      </w:pPr>
      <w:r w:rsidRPr="00873255">
        <w:rPr>
          <w:rFonts w:ascii="Arial" w:hAnsi="Arial" w:cs="Arial"/>
          <w:sz w:val="22"/>
          <w:szCs w:val="22"/>
        </w:rPr>
        <w:t xml:space="preserve">Capital reserves  </w:t>
      </w:r>
    </w:p>
    <w:p w:rsidR="006C0D0F" w:rsidRPr="00873255" w:rsidRDefault="006C0D0F" w:rsidP="006C0D0F">
      <w:pPr>
        <w:pStyle w:val="ListParagraph"/>
        <w:numPr>
          <w:ilvl w:val="0"/>
          <w:numId w:val="2"/>
        </w:numPr>
        <w:rPr>
          <w:rFonts w:ascii="Arial" w:hAnsi="Arial" w:cs="Arial"/>
          <w:sz w:val="22"/>
          <w:szCs w:val="22"/>
        </w:rPr>
      </w:pPr>
      <w:r w:rsidRPr="00873255">
        <w:rPr>
          <w:rFonts w:ascii="Arial" w:hAnsi="Arial" w:cs="Arial"/>
          <w:sz w:val="22"/>
          <w:szCs w:val="22"/>
        </w:rPr>
        <w:t>Capital reserves with agents to expend</w:t>
      </w:r>
    </w:p>
    <w:p w:rsidR="006C0D0F" w:rsidRPr="00873255" w:rsidRDefault="006C0D0F" w:rsidP="006C0D0F">
      <w:pPr>
        <w:pStyle w:val="ListParagraph"/>
        <w:numPr>
          <w:ilvl w:val="0"/>
          <w:numId w:val="2"/>
        </w:numPr>
        <w:rPr>
          <w:rFonts w:ascii="Arial" w:hAnsi="Arial" w:cs="Arial"/>
          <w:sz w:val="22"/>
          <w:szCs w:val="22"/>
        </w:rPr>
      </w:pPr>
      <w:r w:rsidRPr="00873255">
        <w:rPr>
          <w:rFonts w:ascii="Arial" w:hAnsi="Arial" w:cs="Arial"/>
          <w:sz w:val="22"/>
          <w:szCs w:val="22"/>
        </w:rPr>
        <w:t>Expendable trusts</w:t>
      </w:r>
    </w:p>
    <w:p w:rsidR="006C0D0F" w:rsidRPr="00873255" w:rsidRDefault="006C0D0F" w:rsidP="006C0D0F">
      <w:pPr>
        <w:pStyle w:val="ListParagraph"/>
        <w:numPr>
          <w:ilvl w:val="0"/>
          <w:numId w:val="2"/>
        </w:numPr>
        <w:rPr>
          <w:rFonts w:ascii="Arial" w:hAnsi="Arial" w:cs="Arial"/>
          <w:sz w:val="22"/>
          <w:szCs w:val="22"/>
        </w:rPr>
      </w:pPr>
      <w:r w:rsidRPr="00873255">
        <w:rPr>
          <w:rFonts w:ascii="Arial" w:hAnsi="Arial" w:cs="Arial"/>
          <w:sz w:val="22"/>
          <w:szCs w:val="22"/>
        </w:rPr>
        <w:t>Expendable trusts with agents to expend</w:t>
      </w:r>
    </w:p>
    <w:p w:rsidR="006C0D0F" w:rsidRPr="00873255" w:rsidRDefault="006C0D0F" w:rsidP="006C0D0F">
      <w:pPr>
        <w:pStyle w:val="ListParagraph"/>
        <w:numPr>
          <w:ilvl w:val="0"/>
          <w:numId w:val="1"/>
        </w:numPr>
        <w:rPr>
          <w:rFonts w:ascii="Arial" w:hAnsi="Arial" w:cs="Arial"/>
          <w:sz w:val="22"/>
          <w:szCs w:val="22"/>
        </w:rPr>
      </w:pPr>
      <w:r w:rsidRPr="00873255">
        <w:rPr>
          <w:rFonts w:ascii="Arial" w:hAnsi="Arial" w:cs="Arial"/>
          <w:sz w:val="22"/>
          <w:szCs w:val="22"/>
        </w:rPr>
        <w:t>Cemetery trusts – RSA 31:20 through 31:22a inclusive.</w:t>
      </w:r>
    </w:p>
    <w:p w:rsidR="006C0D0F" w:rsidRPr="00873255" w:rsidRDefault="006C0D0F" w:rsidP="006C0D0F">
      <w:pPr>
        <w:pStyle w:val="ListParagraph"/>
        <w:numPr>
          <w:ilvl w:val="0"/>
          <w:numId w:val="3"/>
        </w:numPr>
        <w:rPr>
          <w:rFonts w:ascii="Arial" w:hAnsi="Arial" w:cs="Arial"/>
          <w:sz w:val="22"/>
          <w:szCs w:val="22"/>
        </w:rPr>
      </w:pPr>
      <w:r w:rsidRPr="00873255">
        <w:rPr>
          <w:rFonts w:ascii="Arial" w:hAnsi="Arial" w:cs="Arial"/>
          <w:sz w:val="22"/>
          <w:szCs w:val="22"/>
        </w:rPr>
        <w:t>Perpetual care trusts</w:t>
      </w:r>
    </w:p>
    <w:p w:rsidR="006C0D0F" w:rsidRPr="00873255" w:rsidRDefault="006C0D0F" w:rsidP="006C0D0F">
      <w:pPr>
        <w:pStyle w:val="ListParagraph"/>
        <w:numPr>
          <w:ilvl w:val="0"/>
          <w:numId w:val="4"/>
        </w:numPr>
        <w:rPr>
          <w:rFonts w:ascii="Arial" w:hAnsi="Arial" w:cs="Arial"/>
          <w:sz w:val="22"/>
          <w:szCs w:val="22"/>
        </w:rPr>
      </w:pPr>
      <w:r w:rsidRPr="00873255">
        <w:rPr>
          <w:rFonts w:ascii="Arial" w:hAnsi="Arial" w:cs="Arial"/>
          <w:sz w:val="22"/>
          <w:szCs w:val="22"/>
        </w:rPr>
        <w:t>Municipal cemetery</w:t>
      </w:r>
    </w:p>
    <w:p w:rsidR="006C0D0F" w:rsidRPr="00873255" w:rsidRDefault="006C0D0F" w:rsidP="006C0D0F">
      <w:pPr>
        <w:pStyle w:val="ListParagraph"/>
        <w:numPr>
          <w:ilvl w:val="0"/>
          <w:numId w:val="4"/>
        </w:numPr>
        <w:rPr>
          <w:rFonts w:ascii="Arial" w:hAnsi="Arial" w:cs="Arial"/>
          <w:sz w:val="22"/>
          <w:szCs w:val="22"/>
        </w:rPr>
      </w:pPr>
      <w:r w:rsidRPr="00873255">
        <w:rPr>
          <w:rFonts w:ascii="Arial" w:hAnsi="Arial" w:cs="Arial"/>
          <w:sz w:val="22"/>
          <w:szCs w:val="22"/>
        </w:rPr>
        <w:t>Private trusts</w:t>
      </w:r>
    </w:p>
    <w:p w:rsidR="006C0D0F" w:rsidRDefault="006C0D0F" w:rsidP="006C0D0F">
      <w:pPr>
        <w:pStyle w:val="ListParagraph"/>
        <w:numPr>
          <w:ilvl w:val="0"/>
          <w:numId w:val="3"/>
        </w:numPr>
        <w:rPr>
          <w:rFonts w:ascii="Arial" w:hAnsi="Arial" w:cs="Arial"/>
          <w:sz w:val="22"/>
          <w:szCs w:val="22"/>
        </w:rPr>
      </w:pPr>
      <w:r w:rsidRPr="00873255">
        <w:rPr>
          <w:rFonts w:ascii="Arial" w:hAnsi="Arial" w:cs="Arial"/>
          <w:sz w:val="22"/>
          <w:szCs w:val="22"/>
        </w:rPr>
        <w:t>Expendable trusts</w:t>
      </w:r>
    </w:p>
    <w:p w:rsidR="006C0D0F" w:rsidRPr="00873255" w:rsidRDefault="006C0D0F" w:rsidP="006C0D0F">
      <w:pPr>
        <w:pStyle w:val="ListParagraph"/>
        <w:numPr>
          <w:ilvl w:val="0"/>
          <w:numId w:val="3"/>
        </w:numPr>
        <w:rPr>
          <w:rFonts w:ascii="Arial" w:hAnsi="Arial" w:cs="Arial"/>
          <w:sz w:val="22"/>
          <w:szCs w:val="22"/>
        </w:rPr>
      </w:pPr>
      <w:r>
        <w:rPr>
          <w:rFonts w:ascii="Arial" w:hAnsi="Arial" w:cs="Arial"/>
          <w:sz w:val="22"/>
          <w:szCs w:val="22"/>
        </w:rPr>
        <w:t>Expendable trusts with agents to expend</w:t>
      </w:r>
    </w:p>
    <w:p w:rsidR="006C0D0F" w:rsidRPr="00873255" w:rsidRDefault="006C0D0F" w:rsidP="006C0D0F">
      <w:pPr>
        <w:pStyle w:val="ListParagraph"/>
        <w:numPr>
          <w:ilvl w:val="0"/>
          <w:numId w:val="1"/>
        </w:numPr>
        <w:rPr>
          <w:rFonts w:ascii="Arial" w:hAnsi="Arial" w:cs="Arial"/>
          <w:sz w:val="22"/>
          <w:szCs w:val="22"/>
        </w:rPr>
      </w:pPr>
      <w:r w:rsidRPr="00873255">
        <w:rPr>
          <w:rFonts w:ascii="Arial" w:hAnsi="Arial" w:cs="Arial"/>
          <w:sz w:val="22"/>
          <w:szCs w:val="22"/>
        </w:rPr>
        <w:t xml:space="preserve">Agency trusts – RSA 35:1 through RSA 35:10 inclusive, </w:t>
      </w:r>
      <w:r>
        <w:rPr>
          <w:rFonts w:ascii="Arial" w:hAnsi="Arial" w:cs="Arial"/>
          <w:sz w:val="22"/>
          <w:szCs w:val="22"/>
        </w:rPr>
        <w:t xml:space="preserve">RSA </w:t>
      </w:r>
      <w:r w:rsidRPr="00873255">
        <w:rPr>
          <w:rFonts w:ascii="Arial" w:hAnsi="Arial" w:cs="Arial"/>
          <w:sz w:val="22"/>
          <w:szCs w:val="22"/>
        </w:rPr>
        <w:t>31:31, RSA 35-2 and RSA 198:20c</w:t>
      </w:r>
    </w:p>
    <w:p w:rsidR="006C0D0F" w:rsidRPr="00873255" w:rsidRDefault="006C0D0F" w:rsidP="006C0D0F">
      <w:pPr>
        <w:pStyle w:val="ListParagraph"/>
        <w:numPr>
          <w:ilvl w:val="0"/>
          <w:numId w:val="5"/>
        </w:numPr>
        <w:rPr>
          <w:rFonts w:ascii="Arial" w:hAnsi="Arial" w:cs="Arial"/>
          <w:sz w:val="22"/>
          <w:szCs w:val="22"/>
        </w:rPr>
      </w:pPr>
      <w:r w:rsidRPr="00873255">
        <w:rPr>
          <w:rFonts w:ascii="Arial" w:hAnsi="Arial" w:cs="Arial"/>
          <w:sz w:val="22"/>
          <w:szCs w:val="22"/>
        </w:rPr>
        <w:t>Capital reserves</w:t>
      </w:r>
    </w:p>
    <w:p w:rsidR="006C0D0F" w:rsidRPr="00873255" w:rsidRDefault="006C0D0F" w:rsidP="006C0D0F">
      <w:pPr>
        <w:pStyle w:val="ListParagraph"/>
        <w:numPr>
          <w:ilvl w:val="0"/>
          <w:numId w:val="5"/>
        </w:numPr>
        <w:rPr>
          <w:rFonts w:ascii="Arial" w:hAnsi="Arial" w:cs="Arial"/>
          <w:sz w:val="22"/>
          <w:szCs w:val="22"/>
        </w:rPr>
      </w:pPr>
      <w:r w:rsidRPr="00873255">
        <w:rPr>
          <w:rFonts w:ascii="Arial" w:hAnsi="Arial" w:cs="Arial"/>
          <w:sz w:val="22"/>
          <w:szCs w:val="22"/>
        </w:rPr>
        <w:t>Capital reserves with agents to expend</w:t>
      </w:r>
    </w:p>
    <w:p w:rsidR="006C0D0F" w:rsidRDefault="006C0D0F" w:rsidP="006C0D0F">
      <w:pPr>
        <w:pStyle w:val="ListParagraph"/>
        <w:numPr>
          <w:ilvl w:val="0"/>
          <w:numId w:val="5"/>
        </w:numPr>
        <w:rPr>
          <w:rFonts w:ascii="Arial" w:hAnsi="Arial" w:cs="Arial"/>
          <w:sz w:val="22"/>
          <w:szCs w:val="22"/>
        </w:rPr>
      </w:pPr>
      <w:r w:rsidRPr="00873255">
        <w:rPr>
          <w:rFonts w:ascii="Arial" w:hAnsi="Arial" w:cs="Arial"/>
          <w:sz w:val="22"/>
          <w:szCs w:val="22"/>
        </w:rPr>
        <w:lastRenderedPageBreak/>
        <w:t>Expendable trusts</w:t>
      </w:r>
    </w:p>
    <w:p w:rsidR="006C0D0F" w:rsidRPr="00873255" w:rsidRDefault="006C0D0F" w:rsidP="006C0D0F">
      <w:pPr>
        <w:pStyle w:val="ListParagraph"/>
        <w:numPr>
          <w:ilvl w:val="0"/>
          <w:numId w:val="5"/>
        </w:numPr>
        <w:rPr>
          <w:rFonts w:ascii="Arial" w:hAnsi="Arial" w:cs="Arial"/>
          <w:sz w:val="22"/>
          <w:szCs w:val="22"/>
        </w:rPr>
      </w:pPr>
      <w:r>
        <w:rPr>
          <w:rFonts w:ascii="Arial" w:hAnsi="Arial" w:cs="Arial"/>
          <w:sz w:val="22"/>
          <w:szCs w:val="22"/>
        </w:rPr>
        <w:t>Expendable trusts with agents to expend</w:t>
      </w:r>
    </w:p>
    <w:p w:rsidR="006C0D0F" w:rsidRPr="00873255" w:rsidRDefault="006C0D0F" w:rsidP="006C0D0F">
      <w:pPr>
        <w:pStyle w:val="ListParagraph"/>
        <w:numPr>
          <w:ilvl w:val="0"/>
          <w:numId w:val="5"/>
        </w:numPr>
        <w:rPr>
          <w:rFonts w:ascii="Arial" w:hAnsi="Arial" w:cs="Arial"/>
          <w:sz w:val="22"/>
          <w:szCs w:val="22"/>
        </w:rPr>
      </w:pPr>
      <w:r w:rsidRPr="00873255">
        <w:rPr>
          <w:rFonts w:ascii="Arial" w:hAnsi="Arial" w:cs="Arial"/>
          <w:sz w:val="22"/>
          <w:szCs w:val="22"/>
        </w:rPr>
        <w:t>Private purpose trusts</w:t>
      </w:r>
    </w:p>
    <w:p w:rsidR="006C0D0F" w:rsidRPr="00873255" w:rsidRDefault="006C0D0F" w:rsidP="006C0D0F">
      <w:pPr>
        <w:pStyle w:val="ListParagraph"/>
        <w:numPr>
          <w:ilvl w:val="0"/>
          <w:numId w:val="1"/>
        </w:numPr>
        <w:rPr>
          <w:rFonts w:ascii="Arial" w:hAnsi="Arial" w:cs="Arial"/>
          <w:sz w:val="22"/>
          <w:szCs w:val="22"/>
        </w:rPr>
      </w:pPr>
      <w:r w:rsidRPr="00873255">
        <w:rPr>
          <w:rFonts w:ascii="Arial" w:hAnsi="Arial" w:cs="Arial"/>
          <w:sz w:val="22"/>
          <w:szCs w:val="22"/>
        </w:rPr>
        <w:t>Private trusts – RSA 31:19 through 31:19-c inclusive</w:t>
      </w:r>
    </w:p>
    <w:p w:rsidR="006C0D0F" w:rsidRPr="00873255" w:rsidRDefault="006C0D0F" w:rsidP="006C0D0F">
      <w:pPr>
        <w:pStyle w:val="ListParagraph"/>
        <w:numPr>
          <w:ilvl w:val="0"/>
          <w:numId w:val="6"/>
        </w:numPr>
        <w:rPr>
          <w:rFonts w:ascii="Arial" w:hAnsi="Arial" w:cs="Arial"/>
          <w:sz w:val="22"/>
          <w:szCs w:val="22"/>
        </w:rPr>
      </w:pPr>
      <w:r w:rsidRPr="00873255">
        <w:rPr>
          <w:rFonts w:ascii="Arial" w:hAnsi="Arial" w:cs="Arial"/>
          <w:sz w:val="22"/>
          <w:szCs w:val="22"/>
        </w:rPr>
        <w:t>Expendable trusts</w:t>
      </w:r>
      <w:r>
        <w:rPr>
          <w:rFonts w:ascii="Arial" w:hAnsi="Arial" w:cs="Arial"/>
          <w:sz w:val="22"/>
          <w:szCs w:val="22"/>
        </w:rPr>
        <w:t xml:space="preserve"> with agents to expend</w:t>
      </w:r>
    </w:p>
    <w:p w:rsidR="006C0D0F" w:rsidRPr="00873255" w:rsidRDefault="006C0D0F" w:rsidP="006C0D0F">
      <w:pPr>
        <w:pStyle w:val="ListParagraph"/>
        <w:numPr>
          <w:ilvl w:val="0"/>
          <w:numId w:val="6"/>
        </w:numPr>
        <w:rPr>
          <w:rFonts w:ascii="Arial" w:hAnsi="Arial" w:cs="Arial"/>
          <w:sz w:val="22"/>
          <w:szCs w:val="22"/>
        </w:rPr>
      </w:pPr>
      <w:r>
        <w:rPr>
          <w:rFonts w:ascii="Arial" w:hAnsi="Arial" w:cs="Arial"/>
          <w:sz w:val="22"/>
          <w:szCs w:val="22"/>
        </w:rPr>
        <w:t xml:space="preserve">Income-only </w:t>
      </w:r>
      <w:r w:rsidRPr="00873255">
        <w:rPr>
          <w:rFonts w:ascii="Arial" w:hAnsi="Arial" w:cs="Arial"/>
          <w:sz w:val="22"/>
          <w:szCs w:val="22"/>
        </w:rPr>
        <w:t>trusts</w:t>
      </w:r>
      <w:r>
        <w:rPr>
          <w:rFonts w:ascii="Arial" w:hAnsi="Arial" w:cs="Arial"/>
          <w:sz w:val="22"/>
          <w:szCs w:val="22"/>
        </w:rPr>
        <w:t xml:space="preserve"> with agents to expend</w:t>
      </w:r>
    </w:p>
    <w:p w:rsidR="006C0D0F" w:rsidRPr="00873255" w:rsidRDefault="006C0D0F" w:rsidP="006C0D0F">
      <w:pPr>
        <w:rPr>
          <w:rFonts w:cs="Arial"/>
          <w:szCs w:val="22"/>
        </w:rPr>
      </w:pPr>
    </w:p>
    <w:p w:rsidR="006C0D0F" w:rsidRPr="00873255" w:rsidRDefault="006C0D0F" w:rsidP="006C0D0F">
      <w:pPr>
        <w:rPr>
          <w:rFonts w:cs="Arial"/>
          <w:szCs w:val="22"/>
        </w:rPr>
      </w:pPr>
      <w:r w:rsidRPr="00873255">
        <w:rPr>
          <w:rFonts w:cs="Arial"/>
          <w:szCs w:val="22"/>
        </w:rPr>
        <w:t>INVESTMENT OBJECTIVE:</w:t>
      </w:r>
    </w:p>
    <w:p w:rsidR="006C0D0F" w:rsidRPr="00873255" w:rsidRDefault="006C0D0F" w:rsidP="006C0D0F">
      <w:pPr>
        <w:rPr>
          <w:rFonts w:cs="Arial"/>
          <w:szCs w:val="22"/>
        </w:rPr>
      </w:pPr>
    </w:p>
    <w:p w:rsidR="006C0D0F" w:rsidRPr="00873255" w:rsidRDefault="006C0D0F" w:rsidP="006C0D0F">
      <w:pPr>
        <w:rPr>
          <w:rFonts w:cs="Arial"/>
          <w:szCs w:val="22"/>
        </w:rPr>
      </w:pPr>
      <w:r w:rsidRPr="00873255">
        <w:rPr>
          <w:rFonts w:cs="Arial"/>
          <w:szCs w:val="22"/>
        </w:rPr>
        <w:t>All funds in the custody of the Trustees of Trust Funds will be invested to insure that the purchasing power of the principal is maintained, while providing a level of income sufficient to support the programs intended to be financed under the terms of the respective reserves and trusts.</w:t>
      </w:r>
    </w:p>
    <w:p w:rsidR="006C0D0F" w:rsidRPr="00873255" w:rsidRDefault="006C0D0F" w:rsidP="006C0D0F">
      <w:pPr>
        <w:rPr>
          <w:rFonts w:cs="Arial"/>
          <w:szCs w:val="22"/>
        </w:rPr>
      </w:pPr>
    </w:p>
    <w:p w:rsidR="006C0D0F" w:rsidRDefault="006C0D0F" w:rsidP="006C0D0F">
      <w:pPr>
        <w:rPr>
          <w:rFonts w:cs="Arial"/>
          <w:szCs w:val="22"/>
        </w:rPr>
      </w:pPr>
      <w:r w:rsidRPr="00873255">
        <w:rPr>
          <w:rFonts w:cs="Arial"/>
          <w:szCs w:val="22"/>
        </w:rPr>
        <w:t>INVESTMENT AUTHORITY</w:t>
      </w:r>
    </w:p>
    <w:p w:rsidR="006C0D0F" w:rsidRDefault="006C0D0F" w:rsidP="006C0D0F">
      <w:pPr>
        <w:rPr>
          <w:rFonts w:cs="Arial"/>
          <w:szCs w:val="22"/>
        </w:rPr>
      </w:pPr>
    </w:p>
    <w:p w:rsidR="006C0D0F" w:rsidRPr="00873255" w:rsidRDefault="006C0D0F" w:rsidP="006C0D0F">
      <w:pPr>
        <w:rPr>
          <w:rFonts w:cs="Arial"/>
          <w:szCs w:val="22"/>
        </w:rPr>
      </w:pPr>
      <w:r>
        <w:rPr>
          <w:rFonts w:cs="Arial"/>
          <w:szCs w:val="22"/>
        </w:rPr>
        <w:t>NH towns are required by RSA 31:22 to elect Trustees of Trust Funds to administer all town reserves and trusts.  The Durham Town Charter recognizes this requirement in Section 5:15. The role and duties of the Trustees are explicated in the statutory references shown this policy.  Additionally, RSA 31:25 addresses investment custody and RSA 31:27 addresses collective investment of reserve funds.</w:t>
      </w:r>
    </w:p>
    <w:p w:rsidR="006C0D0F" w:rsidRPr="00873255" w:rsidRDefault="006C0D0F" w:rsidP="006C0D0F">
      <w:pPr>
        <w:rPr>
          <w:rFonts w:cs="Arial"/>
          <w:szCs w:val="22"/>
        </w:rPr>
      </w:pPr>
    </w:p>
    <w:p w:rsidR="006C0D0F" w:rsidRDefault="006C0D0F" w:rsidP="006C0D0F">
      <w:pPr>
        <w:rPr>
          <w:rFonts w:cs="Arial"/>
          <w:szCs w:val="22"/>
        </w:rPr>
      </w:pPr>
      <w:r w:rsidRPr="00873255">
        <w:rPr>
          <w:rFonts w:cs="Arial"/>
          <w:szCs w:val="22"/>
        </w:rPr>
        <w:t>RESPONSIBILITIES</w:t>
      </w:r>
    </w:p>
    <w:p w:rsidR="006C0D0F" w:rsidRDefault="006C0D0F" w:rsidP="006C0D0F">
      <w:pPr>
        <w:rPr>
          <w:rFonts w:cs="Arial"/>
          <w:szCs w:val="22"/>
        </w:rPr>
      </w:pPr>
    </w:p>
    <w:p w:rsidR="006C0D0F" w:rsidRDefault="006C0D0F" w:rsidP="006C0D0F">
      <w:pPr>
        <w:pStyle w:val="ListParagraph"/>
        <w:numPr>
          <w:ilvl w:val="0"/>
          <w:numId w:val="13"/>
        </w:numPr>
        <w:rPr>
          <w:rFonts w:ascii="Arial" w:hAnsi="Arial" w:cs="Arial"/>
          <w:sz w:val="22"/>
          <w:szCs w:val="22"/>
        </w:rPr>
      </w:pPr>
      <w:r>
        <w:rPr>
          <w:rFonts w:ascii="Arial" w:hAnsi="Arial" w:cs="Arial"/>
          <w:sz w:val="22"/>
          <w:szCs w:val="22"/>
        </w:rPr>
        <w:t>Trustees of Trust Funds:  Establish the Trustee’s investment policy; supervise and evaluate the investment advisor; approve investments and allocations recommended by the investment advisor; approve state and Town reports; review and approve requests for withdrawals from trusts and reserves.</w:t>
      </w:r>
    </w:p>
    <w:p w:rsidR="006C0D0F" w:rsidRDefault="006C0D0F" w:rsidP="006C0D0F">
      <w:pPr>
        <w:pStyle w:val="ListParagraph"/>
        <w:numPr>
          <w:ilvl w:val="0"/>
          <w:numId w:val="13"/>
        </w:numPr>
        <w:rPr>
          <w:rFonts w:ascii="Arial" w:hAnsi="Arial" w:cs="Arial"/>
          <w:sz w:val="22"/>
          <w:szCs w:val="22"/>
        </w:rPr>
      </w:pPr>
      <w:r>
        <w:rPr>
          <w:rFonts w:ascii="Arial" w:hAnsi="Arial" w:cs="Arial"/>
          <w:sz w:val="22"/>
          <w:szCs w:val="22"/>
        </w:rPr>
        <w:t xml:space="preserve">Chair of Trustees:  schedule and chair meetings; draft and post agendas; act as day-to-day contact for residents, Town and school officials, and the investment advisor. </w:t>
      </w:r>
    </w:p>
    <w:p w:rsidR="006C0D0F" w:rsidRPr="00E20219" w:rsidRDefault="006C0D0F" w:rsidP="006C0D0F">
      <w:pPr>
        <w:pStyle w:val="ListParagraph"/>
        <w:numPr>
          <w:ilvl w:val="0"/>
          <w:numId w:val="13"/>
        </w:numPr>
        <w:rPr>
          <w:rFonts w:ascii="Arial" w:hAnsi="Arial" w:cs="Arial"/>
          <w:sz w:val="22"/>
          <w:szCs w:val="22"/>
        </w:rPr>
      </w:pPr>
      <w:r>
        <w:rPr>
          <w:rFonts w:ascii="Arial" w:hAnsi="Arial" w:cs="Arial"/>
          <w:sz w:val="22"/>
          <w:szCs w:val="22"/>
        </w:rPr>
        <w:t>Secretary of Trustees:  prepare minutes of meetings, other correspondence.</w:t>
      </w:r>
    </w:p>
    <w:p w:rsidR="006C0D0F" w:rsidRDefault="006C0D0F" w:rsidP="006C0D0F">
      <w:pPr>
        <w:pStyle w:val="ListParagraph"/>
        <w:numPr>
          <w:ilvl w:val="0"/>
          <w:numId w:val="13"/>
        </w:numPr>
        <w:rPr>
          <w:rFonts w:ascii="Arial" w:hAnsi="Arial" w:cs="Arial"/>
          <w:sz w:val="22"/>
          <w:szCs w:val="22"/>
        </w:rPr>
      </w:pPr>
      <w:r>
        <w:rPr>
          <w:rFonts w:ascii="Arial" w:hAnsi="Arial" w:cs="Arial"/>
          <w:sz w:val="22"/>
          <w:szCs w:val="22"/>
        </w:rPr>
        <w:t>Investment advisor:  recommend portfolio allocations and contents; track investments in portfolio for sale or replacement; provide periodic investment forecasts for Trustee perspective; provide monthly statements; provide on-line internet access to investment account information; and evaluate portfolio performance based on suitable benchmarks.</w:t>
      </w:r>
    </w:p>
    <w:p w:rsidR="006C0D0F" w:rsidRPr="00867842" w:rsidRDefault="006C0D0F" w:rsidP="006C0D0F">
      <w:pPr>
        <w:pStyle w:val="ListParagraph"/>
        <w:rPr>
          <w:rFonts w:ascii="Arial" w:hAnsi="Arial" w:cs="Arial"/>
          <w:sz w:val="22"/>
          <w:szCs w:val="22"/>
        </w:rPr>
      </w:pPr>
      <w:r w:rsidRPr="00E20219">
        <w:rPr>
          <w:rFonts w:ascii="Arial" w:hAnsi="Arial" w:cs="Arial"/>
          <w:sz w:val="22"/>
          <w:szCs w:val="22"/>
        </w:rPr>
        <w:t xml:space="preserve"> </w:t>
      </w:r>
    </w:p>
    <w:p w:rsidR="006C0D0F" w:rsidRPr="00873255" w:rsidRDefault="006C0D0F" w:rsidP="006C0D0F">
      <w:pPr>
        <w:rPr>
          <w:rFonts w:cs="Arial"/>
          <w:szCs w:val="22"/>
        </w:rPr>
      </w:pPr>
      <w:r w:rsidRPr="00873255">
        <w:rPr>
          <w:rFonts w:cs="Arial"/>
          <w:szCs w:val="22"/>
        </w:rPr>
        <w:t>APPROVED INVESTMENTS</w:t>
      </w:r>
    </w:p>
    <w:p w:rsidR="006C0D0F" w:rsidRPr="00873255" w:rsidRDefault="006C0D0F" w:rsidP="006C0D0F">
      <w:pPr>
        <w:rPr>
          <w:rFonts w:cs="Arial"/>
          <w:szCs w:val="22"/>
        </w:rPr>
      </w:pPr>
    </w:p>
    <w:p w:rsidR="006C0D0F" w:rsidRPr="00873255" w:rsidRDefault="006C0D0F" w:rsidP="006C0D0F">
      <w:pPr>
        <w:pStyle w:val="ListParagraph"/>
        <w:numPr>
          <w:ilvl w:val="0"/>
          <w:numId w:val="7"/>
        </w:numPr>
        <w:rPr>
          <w:rFonts w:ascii="Arial" w:hAnsi="Arial" w:cs="Arial"/>
          <w:sz w:val="22"/>
          <w:szCs w:val="22"/>
        </w:rPr>
      </w:pPr>
      <w:r w:rsidRPr="00873255">
        <w:rPr>
          <w:rFonts w:ascii="Arial" w:hAnsi="Arial" w:cs="Arial"/>
          <w:sz w:val="22"/>
          <w:szCs w:val="22"/>
        </w:rPr>
        <w:t>For appropriated fund trusts:</w:t>
      </w:r>
    </w:p>
    <w:p w:rsidR="006C0D0F" w:rsidRPr="00873255" w:rsidRDefault="006C0D0F" w:rsidP="006C0D0F">
      <w:pPr>
        <w:pStyle w:val="ListParagraph"/>
        <w:numPr>
          <w:ilvl w:val="0"/>
          <w:numId w:val="8"/>
        </w:numPr>
        <w:rPr>
          <w:rFonts w:ascii="Arial" w:hAnsi="Arial" w:cs="Arial"/>
          <w:sz w:val="22"/>
          <w:szCs w:val="22"/>
        </w:rPr>
      </w:pPr>
      <w:r w:rsidRPr="00873255">
        <w:rPr>
          <w:rFonts w:ascii="Arial" w:hAnsi="Arial" w:cs="Arial"/>
          <w:sz w:val="22"/>
          <w:szCs w:val="22"/>
        </w:rPr>
        <w:t>Capital reserves, with or without agents – as specified in RSA 35:9:</w:t>
      </w:r>
    </w:p>
    <w:p w:rsidR="006C0D0F" w:rsidRPr="00873255" w:rsidRDefault="006C0D0F" w:rsidP="006C0D0F">
      <w:pPr>
        <w:pStyle w:val="ListParagraph"/>
        <w:numPr>
          <w:ilvl w:val="0"/>
          <w:numId w:val="9"/>
        </w:numPr>
        <w:rPr>
          <w:rFonts w:ascii="Arial" w:hAnsi="Arial" w:cs="Arial"/>
          <w:sz w:val="22"/>
          <w:szCs w:val="22"/>
        </w:rPr>
      </w:pPr>
      <w:r w:rsidRPr="00873255">
        <w:rPr>
          <w:rFonts w:ascii="Arial" w:hAnsi="Arial" w:cs="Arial"/>
          <w:sz w:val="22"/>
          <w:szCs w:val="22"/>
        </w:rPr>
        <w:t>Deposits in any federally or state-chartered bank or association authorized to engage in a banking business in NH;</w:t>
      </w:r>
    </w:p>
    <w:p w:rsidR="006C0D0F" w:rsidRPr="00873255" w:rsidRDefault="006C0D0F" w:rsidP="006C0D0F">
      <w:pPr>
        <w:pStyle w:val="ListParagraph"/>
        <w:numPr>
          <w:ilvl w:val="0"/>
          <w:numId w:val="9"/>
        </w:numPr>
        <w:rPr>
          <w:rFonts w:ascii="Arial" w:hAnsi="Arial" w:cs="Arial"/>
          <w:sz w:val="22"/>
          <w:szCs w:val="22"/>
        </w:rPr>
      </w:pPr>
      <w:r w:rsidRPr="00873255">
        <w:rPr>
          <w:rFonts w:ascii="Arial" w:hAnsi="Arial" w:cs="Arial"/>
          <w:sz w:val="22"/>
          <w:szCs w:val="22"/>
        </w:rPr>
        <w:t>In bonds or notes of the state of NH</w:t>
      </w:r>
    </w:p>
    <w:p w:rsidR="006C0D0F" w:rsidRPr="00873255" w:rsidRDefault="006C0D0F" w:rsidP="006C0D0F">
      <w:pPr>
        <w:pStyle w:val="ListParagraph"/>
        <w:numPr>
          <w:ilvl w:val="0"/>
          <w:numId w:val="9"/>
        </w:numPr>
        <w:rPr>
          <w:rFonts w:ascii="Arial" w:hAnsi="Arial" w:cs="Arial"/>
          <w:sz w:val="22"/>
          <w:szCs w:val="22"/>
        </w:rPr>
      </w:pPr>
      <w:r w:rsidRPr="00873255">
        <w:rPr>
          <w:rFonts w:ascii="Arial" w:hAnsi="Arial" w:cs="Arial"/>
          <w:sz w:val="22"/>
          <w:szCs w:val="22"/>
        </w:rPr>
        <w:t>In such stocks and bonds as are legal for investment by banks and associations chartered by the state of NH to engage in a banking business;</w:t>
      </w:r>
    </w:p>
    <w:p w:rsidR="006C0D0F" w:rsidRPr="00873255" w:rsidRDefault="006C0D0F" w:rsidP="006C0D0F">
      <w:pPr>
        <w:pStyle w:val="ListParagraph"/>
        <w:numPr>
          <w:ilvl w:val="0"/>
          <w:numId w:val="9"/>
        </w:numPr>
        <w:rPr>
          <w:rFonts w:ascii="Arial" w:hAnsi="Arial" w:cs="Arial"/>
          <w:sz w:val="22"/>
          <w:szCs w:val="22"/>
        </w:rPr>
      </w:pPr>
      <w:r w:rsidRPr="00873255">
        <w:rPr>
          <w:rFonts w:ascii="Arial" w:hAnsi="Arial" w:cs="Arial"/>
          <w:sz w:val="22"/>
          <w:szCs w:val="22"/>
        </w:rPr>
        <w:t>In participation units in the NH Public Deposit Investment Pool (NHPDIP) established pursuant to RSA 383:22</w:t>
      </w:r>
      <w:r>
        <w:rPr>
          <w:rFonts w:ascii="Arial" w:hAnsi="Arial" w:cs="Arial"/>
          <w:sz w:val="22"/>
          <w:szCs w:val="22"/>
        </w:rPr>
        <w:t>,</w:t>
      </w:r>
      <w:r w:rsidRPr="00873255">
        <w:rPr>
          <w:rFonts w:ascii="Arial" w:hAnsi="Arial" w:cs="Arial"/>
          <w:sz w:val="22"/>
          <w:szCs w:val="22"/>
        </w:rPr>
        <w:t xml:space="preserve"> or</w:t>
      </w:r>
      <w:r>
        <w:rPr>
          <w:rFonts w:ascii="Arial" w:hAnsi="Arial" w:cs="Arial"/>
          <w:sz w:val="22"/>
          <w:szCs w:val="22"/>
        </w:rPr>
        <w:t>;</w:t>
      </w:r>
    </w:p>
    <w:p w:rsidR="006C0D0F" w:rsidRPr="00873255" w:rsidRDefault="006C0D0F" w:rsidP="006C0D0F">
      <w:pPr>
        <w:pStyle w:val="ListParagraph"/>
        <w:numPr>
          <w:ilvl w:val="0"/>
          <w:numId w:val="9"/>
        </w:numPr>
        <w:rPr>
          <w:rFonts w:ascii="Arial" w:hAnsi="Arial" w:cs="Arial"/>
          <w:sz w:val="22"/>
          <w:szCs w:val="22"/>
        </w:rPr>
      </w:pPr>
      <w:r w:rsidRPr="00873255">
        <w:rPr>
          <w:rFonts w:ascii="Arial" w:hAnsi="Arial" w:cs="Arial"/>
          <w:sz w:val="22"/>
          <w:szCs w:val="22"/>
        </w:rPr>
        <w:t>In obligations with principal and interest fully guaranteed by the United States government.</w:t>
      </w:r>
    </w:p>
    <w:p w:rsidR="006C0D0F" w:rsidRPr="00873255" w:rsidRDefault="006C0D0F" w:rsidP="006C0D0F">
      <w:pPr>
        <w:pStyle w:val="ListParagraph"/>
        <w:numPr>
          <w:ilvl w:val="0"/>
          <w:numId w:val="8"/>
        </w:numPr>
        <w:rPr>
          <w:rFonts w:ascii="Arial" w:hAnsi="Arial" w:cs="Arial"/>
          <w:sz w:val="22"/>
          <w:szCs w:val="22"/>
        </w:rPr>
      </w:pPr>
      <w:r w:rsidRPr="00873255">
        <w:rPr>
          <w:rFonts w:ascii="Arial" w:hAnsi="Arial" w:cs="Arial"/>
          <w:sz w:val="22"/>
          <w:szCs w:val="22"/>
        </w:rPr>
        <w:lastRenderedPageBreak/>
        <w:t>Expendable trusts, with or without agents – as specified by RSA 3</w:t>
      </w:r>
      <w:r>
        <w:rPr>
          <w:rFonts w:ascii="Arial" w:hAnsi="Arial" w:cs="Arial"/>
          <w:sz w:val="22"/>
          <w:szCs w:val="22"/>
        </w:rPr>
        <w:t>1</w:t>
      </w:r>
      <w:r w:rsidRPr="00873255">
        <w:rPr>
          <w:rFonts w:ascii="Arial" w:hAnsi="Arial" w:cs="Arial"/>
          <w:sz w:val="22"/>
          <w:szCs w:val="22"/>
        </w:rPr>
        <w:t>:</w:t>
      </w:r>
      <w:r>
        <w:rPr>
          <w:rFonts w:ascii="Arial" w:hAnsi="Arial" w:cs="Arial"/>
          <w:sz w:val="22"/>
          <w:szCs w:val="22"/>
        </w:rPr>
        <w:t>25</w:t>
      </w:r>
      <w:r w:rsidRPr="00873255">
        <w:rPr>
          <w:rFonts w:ascii="Arial" w:hAnsi="Arial" w:cs="Arial"/>
          <w:sz w:val="22"/>
          <w:szCs w:val="22"/>
        </w:rPr>
        <w:t>, and RSA 3</w:t>
      </w:r>
      <w:r>
        <w:rPr>
          <w:rFonts w:ascii="Arial" w:hAnsi="Arial" w:cs="Arial"/>
          <w:sz w:val="22"/>
          <w:szCs w:val="22"/>
        </w:rPr>
        <w:t>5</w:t>
      </w:r>
      <w:r w:rsidRPr="00873255">
        <w:rPr>
          <w:rFonts w:ascii="Arial" w:hAnsi="Arial" w:cs="Arial"/>
          <w:sz w:val="22"/>
          <w:szCs w:val="22"/>
        </w:rPr>
        <w:t>:</w:t>
      </w:r>
      <w:r>
        <w:rPr>
          <w:rFonts w:ascii="Arial" w:hAnsi="Arial" w:cs="Arial"/>
          <w:sz w:val="22"/>
          <w:szCs w:val="22"/>
        </w:rPr>
        <w:t>1-c</w:t>
      </w:r>
      <w:r w:rsidRPr="00873255">
        <w:rPr>
          <w:rFonts w:ascii="Arial" w:hAnsi="Arial" w:cs="Arial"/>
          <w:sz w:val="22"/>
          <w:szCs w:val="22"/>
        </w:rPr>
        <w:t>:</w:t>
      </w:r>
    </w:p>
    <w:p w:rsidR="006C0D0F" w:rsidRPr="00873255" w:rsidRDefault="006C0D0F" w:rsidP="006C0D0F">
      <w:pPr>
        <w:pStyle w:val="ListParagraph"/>
        <w:numPr>
          <w:ilvl w:val="0"/>
          <w:numId w:val="10"/>
        </w:numPr>
        <w:rPr>
          <w:rFonts w:ascii="Arial" w:hAnsi="Arial" w:cs="Arial"/>
          <w:sz w:val="22"/>
          <w:szCs w:val="22"/>
        </w:rPr>
      </w:pPr>
      <w:r>
        <w:rPr>
          <w:rFonts w:ascii="Arial" w:hAnsi="Arial" w:cs="Arial"/>
          <w:sz w:val="22"/>
          <w:szCs w:val="22"/>
        </w:rPr>
        <w:t>In d</w:t>
      </w:r>
      <w:r w:rsidRPr="00873255">
        <w:rPr>
          <w:rFonts w:ascii="Arial" w:hAnsi="Arial" w:cs="Arial"/>
          <w:sz w:val="22"/>
          <w:szCs w:val="22"/>
        </w:rPr>
        <w:t>eposits in any federally or state-chartered bank or association authorized to engage in a banking business in NH;</w:t>
      </w:r>
    </w:p>
    <w:p w:rsidR="006C0D0F" w:rsidRPr="00873255" w:rsidRDefault="006C0D0F" w:rsidP="006C0D0F">
      <w:pPr>
        <w:pStyle w:val="ListParagraph"/>
        <w:numPr>
          <w:ilvl w:val="0"/>
          <w:numId w:val="10"/>
        </w:numPr>
        <w:rPr>
          <w:rFonts w:ascii="Arial" w:hAnsi="Arial" w:cs="Arial"/>
          <w:sz w:val="22"/>
          <w:szCs w:val="22"/>
        </w:rPr>
      </w:pPr>
      <w:r w:rsidRPr="00873255">
        <w:rPr>
          <w:rFonts w:ascii="Arial" w:hAnsi="Arial" w:cs="Arial"/>
          <w:sz w:val="22"/>
          <w:szCs w:val="22"/>
        </w:rPr>
        <w:t>In deposits in any credit union in NH;</w:t>
      </w:r>
    </w:p>
    <w:p w:rsidR="006C0D0F" w:rsidRPr="00873255" w:rsidRDefault="006C0D0F" w:rsidP="006C0D0F">
      <w:pPr>
        <w:pStyle w:val="ListParagraph"/>
        <w:numPr>
          <w:ilvl w:val="0"/>
          <w:numId w:val="10"/>
        </w:numPr>
        <w:rPr>
          <w:rFonts w:ascii="Arial" w:hAnsi="Arial" w:cs="Arial"/>
          <w:sz w:val="22"/>
          <w:szCs w:val="22"/>
        </w:rPr>
      </w:pPr>
      <w:r w:rsidRPr="00873255">
        <w:rPr>
          <w:rFonts w:ascii="Arial" w:hAnsi="Arial" w:cs="Arial"/>
          <w:sz w:val="22"/>
          <w:szCs w:val="22"/>
        </w:rPr>
        <w:t>In state, county, town, city, school district, water and sewer district bonds and the notes of towns or cities of NH;</w:t>
      </w:r>
    </w:p>
    <w:p w:rsidR="006C0D0F" w:rsidRPr="00873255" w:rsidRDefault="006C0D0F" w:rsidP="006C0D0F">
      <w:pPr>
        <w:pStyle w:val="ListParagraph"/>
        <w:numPr>
          <w:ilvl w:val="0"/>
          <w:numId w:val="10"/>
        </w:numPr>
        <w:rPr>
          <w:rFonts w:ascii="Arial" w:hAnsi="Arial" w:cs="Arial"/>
          <w:sz w:val="22"/>
          <w:szCs w:val="22"/>
        </w:rPr>
      </w:pPr>
      <w:r w:rsidRPr="00873255">
        <w:rPr>
          <w:rFonts w:ascii="Arial" w:hAnsi="Arial" w:cs="Arial"/>
          <w:sz w:val="22"/>
          <w:szCs w:val="22"/>
        </w:rPr>
        <w:t>In such stocks and bonds as are legal for investment by banks and associations chartered by the state of NH to engage in a banking business;</w:t>
      </w:r>
    </w:p>
    <w:p w:rsidR="006C0D0F" w:rsidRPr="00873255" w:rsidRDefault="006C0D0F" w:rsidP="006C0D0F">
      <w:pPr>
        <w:pStyle w:val="ListParagraph"/>
        <w:numPr>
          <w:ilvl w:val="0"/>
          <w:numId w:val="10"/>
        </w:numPr>
        <w:rPr>
          <w:rFonts w:ascii="Arial" w:hAnsi="Arial" w:cs="Arial"/>
          <w:sz w:val="22"/>
          <w:szCs w:val="22"/>
        </w:rPr>
      </w:pPr>
      <w:r w:rsidRPr="00873255">
        <w:rPr>
          <w:rFonts w:ascii="Arial" w:hAnsi="Arial" w:cs="Arial"/>
          <w:sz w:val="22"/>
          <w:szCs w:val="22"/>
        </w:rPr>
        <w:t>In participation units in the NH Public Deposit Investment Pool (NHPDIP) established pursuant to RSA 383:22; or</w:t>
      </w:r>
    </w:p>
    <w:p w:rsidR="006C0D0F" w:rsidRPr="00873255" w:rsidRDefault="006C0D0F" w:rsidP="006C0D0F">
      <w:pPr>
        <w:pStyle w:val="ListParagraph"/>
        <w:numPr>
          <w:ilvl w:val="0"/>
          <w:numId w:val="10"/>
        </w:numPr>
        <w:rPr>
          <w:rFonts w:ascii="Arial" w:hAnsi="Arial" w:cs="Arial"/>
          <w:sz w:val="22"/>
          <w:szCs w:val="22"/>
        </w:rPr>
      </w:pPr>
      <w:r w:rsidRPr="00873255">
        <w:rPr>
          <w:rFonts w:ascii="Arial" w:hAnsi="Arial" w:cs="Arial"/>
          <w:sz w:val="22"/>
          <w:szCs w:val="22"/>
        </w:rPr>
        <w:t>In obligations with principal and interest fully guaranteed by the United States government.</w:t>
      </w:r>
    </w:p>
    <w:p w:rsidR="006C0D0F" w:rsidRDefault="006C0D0F" w:rsidP="006C0D0F">
      <w:pPr>
        <w:pStyle w:val="ListParagraph"/>
        <w:numPr>
          <w:ilvl w:val="0"/>
          <w:numId w:val="7"/>
        </w:numPr>
        <w:rPr>
          <w:rFonts w:ascii="Arial" w:hAnsi="Arial" w:cs="Arial"/>
          <w:sz w:val="22"/>
          <w:szCs w:val="22"/>
        </w:rPr>
      </w:pPr>
      <w:r w:rsidRPr="00873255">
        <w:rPr>
          <w:rFonts w:ascii="Arial" w:hAnsi="Arial" w:cs="Arial"/>
          <w:sz w:val="22"/>
          <w:szCs w:val="22"/>
        </w:rPr>
        <w:t xml:space="preserve">Cemetery </w:t>
      </w:r>
      <w:r>
        <w:rPr>
          <w:rFonts w:ascii="Arial" w:hAnsi="Arial" w:cs="Arial"/>
          <w:sz w:val="22"/>
          <w:szCs w:val="22"/>
        </w:rPr>
        <w:t>t</w:t>
      </w:r>
      <w:r w:rsidRPr="00873255">
        <w:rPr>
          <w:rFonts w:ascii="Arial" w:hAnsi="Arial" w:cs="Arial"/>
          <w:sz w:val="22"/>
          <w:szCs w:val="22"/>
        </w:rPr>
        <w:t>rusts</w:t>
      </w:r>
      <w:r>
        <w:rPr>
          <w:rFonts w:ascii="Arial" w:hAnsi="Arial" w:cs="Arial"/>
          <w:sz w:val="22"/>
          <w:szCs w:val="22"/>
        </w:rPr>
        <w:t>:</w:t>
      </w:r>
    </w:p>
    <w:p w:rsidR="006C0D0F" w:rsidRDefault="006C0D0F" w:rsidP="006C0D0F">
      <w:pPr>
        <w:pStyle w:val="ListParagraph"/>
        <w:numPr>
          <w:ilvl w:val="0"/>
          <w:numId w:val="11"/>
        </w:numPr>
        <w:rPr>
          <w:rFonts w:ascii="Arial" w:hAnsi="Arial" w:cs="Arial"/>
          <w:sz w:val="22"/>
          <w:szCs w:val="22"/>
        </w:rPr>
      </w:pPr>
      <w:r>
        <w:rPr>
          <w:rFonts w:ascii="Arial" w:hAnsi="Arial" w:cs="Arial"/>
          <w:sz w:val="22"/>
          <w:szCs w:val="22"/>
        </w:rPr>
        <w:t xml:space="preserve">Perpetual care trusts - </w:t>
      </w:r>
      <w:r w:rsidRPr="00873255">
        <w:rPr>
          <w:rFonts w:ascii="Arial" w:hAnsi="Arial" w:cs="Arial"/>
          <w:sz w:val="22"/>
          <w:szCs w:val="22"/>
        </w:rPr>
        <w:t xml:space="preserve">as specified for </w:t>
      </w:r>
      <w:r>
        <w:rPr>
          <w:rFonts w:ascii="Arial" w:hAnsi="Arial" w:cs="Arial"/>
          <w:sz w:val="22"/>
          <w:szCs w:val="22"/>
        </w:rPr>
        <w:t>expendable trusts (paragraph 1.b. above) except that only the income, not the principal, may be e</w:t>
      </w:r>
      <w:r w:rsidRPr="00873255">
        <w:rPr>
          <w:rFonts w:ascii="Arial" w:hAnsi="Arial" w:cs="Arial"/>
          <w:sz w:val="22"/>
          <w:szCs w:val="22"/>
        </w:rPr>
        <w:t>xpend</w:t>
      </w:r>
      <w:r>
        <w:rPr>
          <w:rFonts w:ascii="Arial" w:hAnsi="Arial" w:cs="Arial"/>
          <w:sz w:val="22"/>
          <w:szCs w:val="22"/>
        </w:rPr>
        <w:t>ed.  The Trustees of Trust Funds are agents to expend the income from these trusts.</w:t>
      </w:r>
    </w:p>
    <w:p w:rsidR="006C0D0F" w:rsidRPr="00873255" w:rsidRDefault="006C0D0F" w:rsidP="006C0D0F">
      <w:pPr>
        <w:pStyle w:val="ListParagraph"/>
        <w:numPr>
          <w:ilvl w:val="0"/>
          <w:numId w:val="11"/>
        </w:numPr>
        <w:rPr>
          <w:rFonts w:ascii="Arial" w:hAnsi="Arial" w:cs="Arial"/>
          <w:sz w:val="22"/>
          <w:szCs w:val="22"/>
        </w:rPr>
      </w:pPr>
      <w:r>
        <w:rPr>
          <w:rFonts w:ascii="Arial" w:hAnsi="Arial" w:cs="Arial"/>
          <w:sz w:val="22"/>
          <w:szCs w:val="22"/>
        </w:rPr>
        <w:t xml:space="preserve"> Expendable trusts – as specified for expendable trusts (paragraph 1.b. above).  The Trustees of Trust Funds are agents to expend from these trusts.</w:t>
      </w:r>
      <w:r w:rsidRPr="00873255">
        <w:rPr>
          <w:rFonts w:ascii="Arial" w:hAnsi="Arial" w:cs="Arial"/>
          <w:sz w:val="22"/>
          <w:szCs w:val="22"/>
        </w:rPr>
        <w:t xml:space="preserve"> </w:t>
      </w:r>
    </w:p>
    <w:p w:rsidR="006C0D0F" w:rsidRDefault="006C0D0F" w:rsidP="006C0D0F">
      <w:pPr>
        <w:pStyle w:val="ListParagraph"/>
        <w:numPr>
          <w:ilvl w:val="0"/>
          <w:numId w:val="7"/>
        </w:numPr>
        <w:rPr>
          <w:rFonts w:ascii="Arial" w:hAnsi="Arial" w:cs="Arial"/>
          <w:sz w:val="22"/>
          <w:szCs w:val="22"/>
        </w:rPr>
      </w:pPr>
      <w:r>
        <w:rPr>
          <w:rFonts w:ascii="Arial" w:hAnsi="Arial" w:cs="Arial"/>
          <w:sz w:val="22"/>
          <w:szCs w:val="22"/>
        </w:rPr>
        <w:t>Agency trusts – primarily trusts of the Oyster River Cooperative School District:</w:t>
      </w:r>
    </w:p>
    <w:p w:rsidR="006C0D0F" w:rsidRDefault="006C0D0F" w:rsidP="006C0D0F">
      <w:pPr>
        <w:pStyle w:val="ListParagraph"/>
        <w:numPr>
          <w:ilvl w:val="0"/>
          <w:numId w:val="12"/>
        </w:numPr>
        <w:rPr>
          <w:rFonts w:ascii="Arial" w:hAnsi="Arial" w:cs="Arial"/>
          <w:sz w:val="22"/>
          <w:szCs w:val="22"/>
        </w:rPr>
      </w:pPr>
      <w:r>
        <w:rPr>
          <w:rFonts w:ascii="Arial" w:hAnsi="Arial" w:cs="Arial"/>
          <w:sz w:val="22"/>
          <w:szCs w:val="22"/>
        </w:rPr>
        <w:t>Capital reserves with and without agents to expend – as specified for capital reserves (Paragraph 1.a. above)</w:t>
      </w:r>
    </w:p>
    <w:p w:rsidR="006C0D0F" w:rsidRDefault="006C0D0F" w:rsidP="006C0D0F">
      <w:pPr>
        <w:pStyle w:val="ListParagraph"/>
        <w:numPr>
          <w:ilvl w:val="0"/>
          <w:numId w:val="12"/>
        </w:numPr>
        <w:rPr>
          <w:rFonts w:ascii="Arial" w:hAnsi="Arial" w:cs="Arial"/>
          <w:sz w:val="22"/>
          <w:szCs w:val="22"/>
        </w:rPr>
      </w:pPr>
      <w:r>
        <w:rPr>
          <w:rFonts w:ascii="Arial" w:hAnsi="Arial" w:cs="Arial"/>
          <w:sz w:val="22"/>
          <w:szCs w:val="22"/>
        </w:rPr>
        <w:t>Expendable trusts with or without agents to expend - as specified for expendable trusts (paragraph 1.b. above)</w:t>
      </w:r>
    </w:p>
    <w:p w:rsidR="006C0D0F" w:rsidRDefault="006C0D0F" w:rsidP="006C0D0F">
      <w:pPr>
        <w:pStyle w:val="ListParagraph"/>
        <w:numPr>
          <w:ilvl w:val="0"/>
          <w:numId w:val="12"/>
        </w:numPr>
        <w:rPr>
          <w:rFonts w:ascii="Arial" w:hAnsi="Arial" w:cs="Arial"/>
          <w:sz w:val="22"/>
          <w:szCs w:val="22"/>
        </w:rPr>
      </w:pPr>
      <w:r>
        <w:rPr>
          <w:rFonts w:ascii="Arial" w:hAnsi="Arial" w:cs="Arial"/>
          <w:sz w:val="22"/>
          <w:szCs w:val="22"/>
        </w:rPr>
        <w:t xml:space="preserve">Income-only trusts - </w:t>
      </w:r>
      <w:r w:rsidRPr="00873255">
        <w:rPr>
          <w:rFonts w:ascii="Arial" w:hAnsi="Arial" w:cs="Arial"/>
          <w:sz w:val="22"/>
          <w:szCs w:val="22"/>
        </w:rPr>
        <w:t xml:space="preserve">as specified for </w:t>
      </w:r>
      <w:r>
        <w:rPr>
          <w:rFonts w:ascii="Arial" w:hAnsi="Arial" w:cs="Arial"/>
          <w:sz w:val="22"/>
          <w:szCs w:val="22"/>
        </w:rPr>
        <w:t>expendable trusts (paragraph 1.b. above) except that only the income, not the principal, may be e</w:t>
      </w:r>
      <w:r w:rsidRPr="00873255">
        <w:rPr>
          <w:rFonts w:ascii="Arial" w:hAnsi="Arial" w:cs="Arial"/>
          <w:sz w:val="22"/>
          <w:szCs w:val="22"/>
        </w:rPr>
        <w:t>xpend</w:t>
      </w:r>
      <w:r>
        <w:rPr>
          <w:rFonts w:ascii="Arial" w:hAnsi="Arial" w:cs="Arial"/>
          <w:sz w:val="22"/>
          <w:szCs w:val="22"/>
        </w:rPr>
        <w:t>ed.</w:t>
      </w:r>
    </w:p>
    <w:p w:rsidR="006C0D0F" w:rsidRPr="00873255" w:rsidRDefault="006C0D0F" w:rsidP="006C0D0F">
      <w:pPr>
        <w:pStyle w:val="ListParagraph"/>
        <w:numPr>
          <w:ilvl w:val="0"/>
          <w:numId w:val="12"/>
        </w:numPr>
        <w:rPr>
          <w:rFonts w:ascii="Arial" w:hAnsi="Arial" w:cs="Arial"/>
          <w:sz w:val="22"/>
          <w:szCs w:val="22"/>
        </w:rPr>
      </w:pPr>
      <w:r>
        <w:rPr>
          <w:rFonts w:ascii="Arial" w:hAnsi="Arial" w:cs="Arial"/>
          <w:sz w:val="22"/>
          <w:szCs w:val="22"/>
        </w:rPr>
        <w:t>Private purpose trusts (primarily scholarships) - as specified for expendable trusts (paragraph 1.b. above).  Some of these trusts restrict expenditures to income only.</w:t>
      </w:r>
    </w:p>
    <w:p w:rsidR="006C0D0F" w:rsidRPr="00873255" w:rsidRDefault="006C0D0F" w:rsidP="006C0D0F">
      <w:pPr>
        <w:pStyle w:val="ListParagraph"/>
        <w:numPr>
          <w:ilvl w:val="0"/>
          <w:numId w:val="7"/>
        </w:numPr>
        <w:rPr>
          <w:rFonts w:ascii="Arial" w:hAnsi="Arial" w:cs="Arial"/>
          <w:sz w:val="22"/>
          <w:szCs w:val="22"/>
        </w:rPr>
      </w:pPr>
      <w:r>
        <w:rPr>
          <w:rFonts w:ascii="Arial" w:hAnsi="Arial" w:cs="Arial"/>
          <w:sz w:val="22"/>
          <w:szCs w:val="22"/>
        </w:rPr>
        <w:t xml:space="preserve">Private trusts (primarily cemetery care endowments) - </w:t>
      </w:r>
      <w:r w:rsidRPr="00873255">
        <w:rPr>
          <w:rFonts w:ascii="Arial" w:hAnsi="Arial" w:cs="Arial"/>
          <w:sz w:val="22"/>
          <w:szCs w:val="22"/>
        </w:rPr>
        <w:t xml:space="preserve">as specified for </w:t>
      </w:r>
      <w:r>
        <w:rPr>
          <w:rFonts w:ascii="Arial" w:hAnsi="Arial" w:cs="Arial"/>
          <w:sz w:val="22"/>
          <w:szCs w:val="22"/>
        </w:rPr>
        <w:t>expendable trusts (paragraph 1.b. above) except that for most of these trusts only the income, not the principal, may be e</w:t>
      </w:r>
      <w:r w:rsidRPr="00873255">
        <w:rPr>
          <w:rFonts w:ascii="Arial" w:hAnsi="Arial" w:cs="Arial"/>
          <w:sz w:val="22"/>
          <w:szCs w:val="22"/>
        </w:rPr>
        <w:t>xpend</w:t>
      </w:r>
      <w:r>
        <w:rPr>
          <w:rFonts w:ascii="Arial" w:hAnsi="Arial" w:cs="Arial"/>
          <w:sz w:val="22"/>
          <w:szCs w:val="22"/>
        </w:rPr>
        <w:t>ed.</w:t>
      </w:r>
    </w:p>
    <w:p w:rsidR="006C0D0F" w:rsidRDefault="006C0D0F" w:rsidP="006C0D0F">
      <w:pPr>
        <w:rPr>
          <w:rFonts w:cs="Arial"/>
          <w:szCs w:val="22"/>
        </w:rPr>
      </w:pPr>
    </w:p>
    <w:p w:rsidR="006C0D0F" w:rsidRPr="00873255" w:rsidRDefault="006C0D0F" w:rsidP="006C0D0F">
      <w:pPr>
        <w:rPr>
          <w:rFonts w:cs="Arial"/>
          <w:szCs w:val="22"/>
        </w:rPr>
      </w:pPr>
      <w:r w:rsidRPr="00873255">
        <w:rPr>
          <w:rFonts w:cs="Arial"/>
          <w:szCs w:val="22"/>
        </w:rPr>
        <w:t>CONSTRAINTS</w:t>
      </w:r>
    </w:p>
    <w:p w:rsidR="006C0D0F" w:rsidRDefault="006C0D0F" w:rsidP="006C0D0F">
      <w:pPr>
        <w:rPr>
          <w:rFonts w:cs="Arial"/>
          <w:szCs w:val="22"/>
        </w:rPr>
      </w:pPr>
    </w:p>
    <w:p w:rsidR="006C0D0F" w:rsidRDefault="006C0D0F" w:rsidP="006C0D0F">
      <w:pPr>
        <w:rPr>
          <w:rFonts w:cs="Arial"/>
          <w:szCs w:val="22"/>
        </w:rPr>
      </w:pPr>
      <w:r>
        <w:rPr>
          <w:rFonts w:cs="Arial"/>
          <w:szCs w:val="22"/>
        </w:rPr>
        <w:t>No investments will be made in private placements, private equities, hedge funds, fixed income swaps or futures, derivatives, equity futures or options, or illiquid securities, Margin trading and short sales are not authorized.</w:t>
      </w:r>
    </w:p>
    <w:p w:rsidR="006C0D0F" w:rsidRDefault="006C0D0F" w:rsidP="006C0D0F">
      <w:pPr>
        <w:rPr>
          <w:rFonts w:cs="Arial"/>
          <w:szCs w:val="22"/>
        </w:rPr>
      </w:pPr>
    </w:p>
    <w:p w:rsidR="006C0D0F" w:rsidRDefault="006C0D0F" w:rsidP="006C0D0F">
      <w:pPr>
        <w:rPr>
          <w:rFonts w:cs="Arial"/>
          <w:szCs w:val="22"/>
        </w:rPr>
      </w:pPr>
      <w:r>
        <w:rPr>
          <w:rFonts w:cs="Arial"/>
          <w:szCs w:val="22"/>
        </w:rPr>
        <w:t>Portfolio risk will be minimized by diversification.</w:t>
      </w:r>
    </w:p>
    <w:p w:rsidR="006C0D0F" w:rsidRDefault="006C0D0F" w:rsidP="006C0D0F">
      <w:pPr>
        <w:rPr>
          <w:rFonts w:cs="Arial"/>
          <w:szCs w:val="22"/>
        </w:rPr>
      </w:pPr>
    </w:p>
    <w:p w:rsidR="006C0D0F" w:rsidRDefault="006C0D0F" w:rsidP="006C0D0F">
      <w:pPr>
        <w:rPr>
          <w:rFonts w:cs="Arial"/>
          <w:szCs w:val="22"/>
        </w:rPr>
      </w:pPr>
      <w:r>
        <w:rPr>
          <w:rFonts w:cs="Arial"/>
          <w:szCs w:val="22"/>
        </w:rPr>
        <w:t xml:space="preserve">Asset allocation will be governed by these guidelines: </w:t>
      </w:r>
    </w:p>
    <w:p w:rsidR="006C0D0F" w:rsidRDefault="006C0D0F" w:rsidP="006C0D0F">
      <w:pPr>
        <w:rPr>
          <w:rFonts w:cs="Arial"/>
          <w:szCs w:val="22"/>
        </w:rPr>
      </w:pPr>
    </w:p>
    <w:p w:rsidR="006C0D0F" w:rsidRDefault="006C0D0F" w:rsidP="006C0D0F">
      <w:pPr>
        <w:rPr>
          <w:rFonts w:cs="Arial"/>
          <w:szCs w:val="22"/>
        </w:rPr>
      </w:pPr>
      <w:r>
        <w:rPr>
          <w:rFonts w:cs="Arial"/>
          <w:szCs w:val="22"/>
        </w:rPr>
        <w:tab/>
      </w:r>
      <w:r w:rsidRPr="00B80E55">
        <w:rPr>
          <w:rFonts w:cs="Arial"/>
          <w:szCs w:val="22"/>
          <w:u w:val="single"/>
        </w:rPr>
        <w:t>Asset type</w:t>
      </w:r>
      <w:r>
        <w:rPr>
          <w:rFonts w:cs="Arial"/>
          <w:szCs w:val="22"/>
        </w:rPr>
        <w:tab/>
      </w:r>
      <w:r>
        <w:rPr>
          <w:rFonts w:cs="Arial"/>
          <w:szCs w:val="22"/>
        </w:rPr>
        <w:tab/>
      </w:r>
      <w:r w:rsidRPr="00B80E55">
        <w:rPr>
          <w:rFonts w:cs="Arial"/>
          <w:szCs w:val="22"/>
          <w:u w:val="single"/>
        </w:rPr>
        <w:t>Percent minimum</w:t>
      </w:r>
      <w:r>
        <w:rPr>
          <w:rFonts w:cs="Arial"/>
          <w:szCs w:val="22"/>
        </w:rPr>
        <w:tab/>
      </w:r>
      <w:r>
        <w:rPr>
          <w:rFonts w:cs="Arial"/>
          <w:szCs w:val="22"/>
        </w:rPr>
        <w:tab/>
      </w:r>
      <w:r w:rsidRPr="00B80E55">
        <w:rPr>
          <w:rFonts w:cs="Arial"/>
          <w:szCs w:val="22"/>
          <w:u w:val="single"/>
        </w:rPr>
        <w:t>Percent maximum</w:t>
      </w:r>
    </w:p>
    <w:p w:rsidR="006C0D0F" w:rsidRDefault="006C0D0F" w:rsidP="006C0D0F">
      <w:pPr>
        <w:rPr>
          <w:rFonts w:cs="Arial"/>
          <w:szCs w:val="22"/>
        </w:rPr>
      </w:pPr>
      <w:r>
        <w:rPr>
          <w:rFonts w:cs="Arial"/>
          <w:szCs w:val="22"/>
        </w:rPr>
        <w:tab/>
        <w:t>Cash, near cash</w:t>
      </w:r>
      <w:r>
        <w:rPr>
          <w:rFonts w:cs="Arial"/>
          <w:szCs w:val="22"/>
        </w:rPr>
        <w:tab/>
      </w:r>
      <w:r>
        <w:rPr>
          <w:rFonts w:cs="Arial"/>
          <w:szCs w:val="22"/>
        </w:rPr>
        <w:tab/>
        <w:t xml:space="preserve">  0%</w:t>
      </w:r>
      <w:r>
        <w:rPr>
          <w:rFonts w:cs="Arial"/>
          <w:szCs w:val="22"/>
        </w:rPr>
        <w:tab/>
      </w:r>
      <w:r>
        <w:rPr>
          <w:rFonts w:cs="Arial"/>
          <w:szCs w:val="22"/>
        </w:rPr>
        <w:tab/>
      </w:r>
      <w:r>
        <w:rPr>
          <w:rFonts w:cs="Arial"/>
          <w:szCs w:val="22"/>
        </w:rPr>
        <w:tab/>
      </w:r>
      <w:r>
        <w:rPr>
          <w:rFonts w:cs="Arial"/>
          <w:szCs w:val="22"/>
        </w:rPr>
        <w:tab/>
        <w:t>20%</w:t>
      </w:r>
    </w:p>
    <w:p w:rsidR="006C0D0F" w:rsidRDefault="006C0D0F" w:rsidP="006C0D0F">
      <w:pPr>
        <w:rPr>
          <w:rFonts w:cs="Arial"/>
          <w:szCs w:val="22"/>
        </w:rPr>
      </w:pPr>
      <w:r>
        <w:rPr>
          <w:rFonts w:cs="Arial"/>
          <w:szCs w:val="22"/>
        </w:rPr>
        <w:tab/>
        <w:t>Bonds, notes</w:t>
      </w:r>
      <w:r>
        <w:rPr>
          <w:rFonts w:cs="Arial"/>
          <w:szCs w:val="22"/>
        </w:rPr>
        <w:tab/>
      </w:r>
      <w:r>
        <w:rPr>
          <w:rFonts w:cs="Arial"/>
          <w:szCs w:val="22"/>
        </w:rPr>
        <w:tab/>
      </w:r>
      <w:r>
        <w:rPr>
          <w:rFonts w:cs="Arial"/>
          <w:szCs w:val="22"/>
        </w:rPr>
        <w:tab/>
        <w:t>20%</w:t>
      </w:r>
      <w:r>
        <w:rPr>
          <w:rFonts w:cs="Arial"/>
          <w:szCs w:val="22"/>
        </w:rPr>
        <w:tab/>
      </w:r>
      <w:r>
        <w:rPr>
          <w:rFonts w:cs="Arial"/>
          <w:szCs w:val="22"/>
        </w:rPr>
        <w:tab/>
      </w:r>
      <w:r>
        <w:rPr>
          <w:rFonts w:cs="Arial"/>
          <w:szCs w:val="22"/>
        </w:rPr>
        <w:tab/>
        <w:t xml:space="preserve">          100%</w:t>
      </w:r>
    </w:p>
    <w:p w:rsidR="006C0D0F" w:rsidRDefault="006C0D0F" w:rsidP="006C0D0F">
      <w:pPr>
        <w:rPr>
          <w:rFonts w:cs="Arial"/>
          <w:szCs w:val="22"/>
        </w:rPr>
      </w:pPr>
      <w:r>
        <w:rPr>
          <w:rFonts w:cs="Arial"/>
          <w:szCs w:val="22"/>
        </w:rPr>
        <w:tab/>
        <w:t>Equities</w:t>
      </w:r>
      <w:r>
        <w:rPr>
          <w:rFonts w:cs="Arial"/>
          <w:szCs w:val="22"/>
        </w:rPr>
        <w:tab/>
      </w:r>
      <w:r>
        <w:rPr>
          <w:rFonts w:cs="Arial"/>
          <w:szCs w:val="22"/>
        </w:rPr>
        <w:tab/>
      </w:r>
      <w:r>
        <w:rPr>
          <w:rFonts w:cs="Arial"/>
          <w:szCs w:val="22"/>
        </w:rPr>
        <w:tab/>
        <w:t xml:space="preserve">  0%</w:t>
      </w:r>
      <w:r>
        <w:rPr>
          <w:rFonts w:cs="Arial"/>
          <w:szCs w:val="22"/>
        </w:rPr>
        <w:tab/>
      </w:r>
      <w:r>
        <w:rPr>
          <w:rFonts w:cs="Arial"/>
          <w:szCs w:val="22"/>
        </w:rPr>
        <w:tab/>
      </w:r>
      <w:r>
        <w:rPr>
          <w:rFonts w:cs="Arial"/>
          <w:szCs w:val="22"/>
        </w:rPr>
        <w:tab/>
      </w:r>
      <w:r>
        <w:rPr>
          <w:rFonts w:cs="Arial"/>
          <w:szCs w:val="22"/>
        </w:rPr>
        <w:tab/>
        <w:t>20%</w:t>
      </w:r>
    </w:p>
    <w:p w:rsidR="006C0D0F" w:rsidRPr="00873255" w:rsidRDefault="006C0D0F" w:rsidP="006C0D0F">
      <w:pPr>
        <w:rPr>
          <w:rFonts w:cs="Arial"/>
          <w:szCs w:val="22"/>
        </w:rPr>
      </w:pPr>
    </w:p>
    <w:p w:rsidR="006C0D0F" w:rsidRDefault="006C0D0F" w:rsidP="006C0D0F">
      <w:pPr>
        <w:rPr>
          <w:rFonts w:cs="Arial"/>
          <w:szCs w:val="22"/>
        </w:rPr>
      </w:pPr>
      <w:r>
        <w:rPr>
          <w:rFonts w:cs="Arial"/>
          <w:szCs w:val="22"/>
        </w:rPr>
        <w:t xml:space="preserve">Cash and near cash means demand deposits in banks, short term certificates of deposit, money market funds, and high-grade repurchase agreements, </w:t>
      </w:r>
    </w:p>
    <w:p w:rsidR="006C0D0F" w:rsidRDefault="006C0D0F" w:rsidP="006C0D0F">
      <w:pPr>
        <w:rPr>
          <w:rFonts w:cs="Arial"/>
          <w:szCs w:val="22"/>
        </w:rPr>
      </w:pPr>
    </w:p>
    <w:p w:rsidR="006C0D0F" w:rsidRDefault="006C0D0F" w:rsidP="006C0D0F">
      <w:pPr>
        <w:rPr>
          <w:rFonts w:cs="Arial"/>
          <w:szCs w:val="22"/>
        </w:rPr>
      </w:pPr>
      <w:r>
        <w:rPr>
          <w:rFonts w:cs="Arial"/>
          <w:szCs w:val="22"/>
        </w:rPr>
        <w:t xml:space="preserve">Fixed income securities will be rated “investment grade” by S&amp;P or Moody, and will generally mature within 10 years.  Except for Federal and state securities, the portfolio of fixed income securities will contain no more that 10% of securities from any one issuer. </w:t>
      </w:r>
    </w:p>
    <w:p w:rsidR="006C0D0F" w:rsidRDefault="006C0D0F" w:rsidP="006C0D0F">
      <w:pPr>
        <w:rPr>
          <w:rFonts w:cs="Arial"/>
          <w:szCs w:val="22"/>
        </w:rPr>
      </w:pPr>
    </w:p>
    <w:p w:rsidR="006C0D0F" w:rsidRDefault="006C0D0F" w:rsidP="006C0D0F">
      <w:pPr>
        <w:rPr>
          <w:rFonts w:cs="Arial"/>
          <w:szCs w:val="22"/>
        </w:rPr>
      </w:pPr>
      <w:r>
        <w:rPr>
          <w:rFonts w:cs="Arial"/>
          <w:szCs w:val="22"/>
        </w:rPr>
        <w:t>Equity investments will be in companies with a proven record of earnings and dividend growth, strong fundamentals, and attractive valuations. The equity portfolio will be broadly diversified with no more than 5% of equities from any single company.</w:t>
      </w:r>
    </w:p>
    <w:p w:rsidR="006C0D0F" w:rsidRDefault="006C0D0F" w:rsidP="006C0D0F">
      <w:pPr>
        <w:rPr>
          <w:rFonts w:cs="Arial"/>
          <w:szCs w:val="22"/>
        </w:rPr>
      </w:pPr>
    </w:p>
    <w:p w:rsidR="006C0D0F" w:rsidRDefault="006C0D0F" w:rsidP="006C0D0F">
      <w:pPr>
        <w:rPr>
          <w:rFonts w:cs="Arial"/>
          <w:szCs w:val="22"/>
        </w:rPr>
      </w:pPr>
    </w:p>
    <w:p w:rsidR="006C0D0F" w:rsidRDefault="006C0D0F" w:rsidP="006C0D0F">
      <w:pPr>
        <w:rPr>
          <w:rFonts w:cs="Arial"/>
          <w:szCs w:val="22"/>
        </w:rPr>
      </w:pPr>
      <w:r w:rsidRPr="00873255">
        <w:rPr>
          <w:rFonts w:cs="Arial"/>
          <w:szCs w:val="22"/>
        </w:rPr>
        <w:t>REPORTING</w:t>
      </w:r>
      <w:r>
        <w:rPr>
          <w:rFonts w:cs="Arial"/>
          <w:szCs w:val="22"/>
        </w:rPr>
        <w:t xml:space="preserve">  </w:t>
      </w:r>
    </w:p>
    <w:p w:rsidR="006C0D0F" w:rsidRDefault="006C0D0F" w:rsidP="006C0D0F">
      <w:pPr>
        <w:pStyle w:val="ListParagraph"/>
        <w:numPr>
          <w:ilvl w:val="0"/>
          <w:numId w:val="14"/>
        </w:numPr>
        <w:rPr>
          <w:rFonts w:ascii="Arial" w:hAnsi="Arial" w:cs="Arial"/>
          <w:sz w:val="22"/>
          <w:szCs w:val="22"/>
        </w:rPr>
      </w:pPr>
      <w:r w:rsidRPr="007220BB">
        <w:rPr>
          <w:rFonts w:ascii="Arial" w:hAnsi="Arial" w:cs="Arial"/>
          <w:sz w:val="22"/>
          <w:szCs w:val="22"/>
        </w:rPr>
        <w:t>State of NH</w:t>
      </w:r>
      <w:r>
        <w:rPr>
          <w:rFonts w:ascii="Arial" w:hAnsi="Arial" w:cs="Arial"/>
          <w:sz w:val="22"/>
          <w:szCs w:val="22"/>
        </w:rPr>
        <w:t xml:space="preserve"> financial report (</w:t>
      </w:r>
      <w:r w:rsidRPr="007220BB">
        <w:rPr>
          <w:rFonts w:ascii="Arial" w:hAnsi="Arial" w:cs="Arial"/>
          <w:sz w:val="22"/>
          <w:szCs w:val="22"/>
        </w:rPr>
        <w:t>MS 9/10</w:t>
      </w:r>
      <w:r>
        <w:rPr>
          <w:rFonts w:ascii="Arial" w:hAnsi="Arial" w:cs="Arial"/>
          <w:sz w:val="22"/>
          <w:szCs w:val="22"/>
        </w:rPr>
        <w:t>):  The investment advisor will provide an annual wrap-up statement to the Trustees’ bookkeeper as the basis for this report(s).  The investment advisor will provide other reporting assistance as requested.  The Trustees, working with the Trustees’ bookkeeper, will prepare this report.</w:t>
      </w:r>
    </w:p>
    <w:p w:rsidR="006C0D0F" w:rsidRDefault="006C0D0F" w:rsidP="006C0D0F">
      <w:pPr>
        <w:pStyle w:val="ListParagraph"/>
        <w:numPr>
          <w:ilvl w:val="0"/>
          <w:numId w:val="14"/>
        </w:numPr>
        <w:rPr>
          <w:rFonts w:ascii="Arial" w:hAnsi="Arial" w:cs="Arial"/>
          <w:sz w:val="22"/>
          <w:szCs w:val="22"/>
        </w:rPr>
      </w:pPr>
      <w:r>
        <w:rPr>
          <w:rFonts w:ascii="Arial" w:hAnsi="Arial" w:cs="Arial"/>
          <w:sz w:val="22"/>
          <w:szCs w:val="22"/>
        </w:rPr>
        <w:t xml:space="preserve">Investment policy report:  The Trustees will forward their most current investment policy to the NH DOJ annually. </w:t>
      </w:r>
    </w:p>
    <w:p w:rsidR="006C0D0F" w:rsidRPr="007220BB" w:rsidRDefault="006C0D0F" w:rsidP="006C0D0F">
      <w:pPr>
        <w:pStyle w:val="ListParagraph"/>
        <w:numPr>
          <w:ilvl w:val="0"/>
          <w:numId w:val="14"/>
        </w:numPr>
        <w:rPr>
          <w:rFonts w:ascii="Arial" w:hAnsi="Arial" w:cs="Arial"/>
          <w:sz w:val="22"/>
          <w:szCs w:val="22"/>
        </w:rPr>
      </w:pPr>
      <w:r w:rsidRPr="00E20219">
        <w:rPr>
          <w:rFonts w:ascii="Arial" w:hAnsi="Arial" w:cs="Arial"/>
          <w:sz w:val="22"/>
          <w:szCs w:val="22"/>
        </w:rPr>
        <w:t>Town reports; The Trustees meet annually with the Council to provide an update on activities and accomplishments for the year.  Additionally the Trustees provide a written summary of activity inclusion in the Town Annual Report.</w:t>
      </w:r>
    </w:p>
    <w:p w:rsidR="006C0D0F" w:rsidRDefault="006C0D0F" w:rsidP="006C0D0F">
      <w:pPr>
        <w:pStyle w:val="EnvelopeReturn"/>
      </w:pPr>
    </w:p>
    <w:p w:rsidR="00FA3F7F" w:rsidRDefault="00FA3F7F" w:rsidP="006C0D0F">
      <w:pPr>
        <w:pStyle w:val="EnvelopeReturn"/>
      </w:pPr>
    </w:p>
    <w:p w:rsidR="00FA3F7F" w:rsidRDefault="00FA3F7F" w:rsidP="006C0D0F">
      <w:pPr>
        <w:pStyle w:val="EnvelopeReturn"/>
      </w:pPr>
      <w:r>
        <w:t>Approved:  12 June 2015</w:t>
      </w:r>
    </w:p>
    <w:p w:rsidR="00FA3F7F" w:rsidRDefault="00FA3F7F" w:rsidP="006C0D0F">
      <w:pPr>
        <w:pStyle w:val="EnvelopeReturn"/>
      </w:pPr>
    </w:p>
    <w:p w:rsidR="00FA3F7F" w:rsidRDefault="00FA3F7F" w:rsidP="006C0D0F">
      <w:pPr>
        <w:pStyle w:val="EnvelopeReturn"/>
      </w:pPr>
    </w:p>
    <w:p w:rsidR="00FA3F7F" w:rsidRDefault="00FA3F7F" w:rsidP="006C0D0F">
      <w:pPr>
        <w:pStyle w:val="EnvelopeReturn"/>
      </w:pPr>
    </w:p>
    <w:p w:rsidR="00FA3F7F" w:rsidRDefault="00FA3F7F" w:rsidP="006C0D0F">
      <w:pPr>
        <w:pStyle w:val="EnvelopeReturn"/>
      </w:pPr>
      <w:r>
        <w:tab/>
      </w:r>
    </w:p>
    <w:p w:rsidR="00FA3F7F" w:rsidRDefault="0015540A" w:rsidP="006C0D0F">
      <w:pPr>
        <w:pStyle w:val="EnvelopeReturn"/>
      </w:pPr>
      <w:r>
        <w:tab/>
      </w:r>
      <w:r w:rsidRPr="0015540A">
        <w:rPr>
          <w:u w:val="single"/>
        </w:rPr>
        <w:t>/s/Michael H. Everngam</w:t>
      </w:r>
      <w:r w:rsidR="00FA3F7F">
        <w:tab/>
      </w:r>
      <w:r w:rsidR="00FA3F7F">
        <w:tab/>
      </w:r>
      <w:r w:rsidRPr="0015540A">
        <w:rPr>
          <w:u w:val="single"/>
        </w:rPr>
        <w:t>/s/Craig R. Seymour</w:t>
      </w:r>
      <w:r>
        <w:tab/>
      </w:r>
      <w:r>
        <w:tab/>
      </w:r>
      <w:r w:rsidRPr="0015540A">
        <w:rPr>
          <w:u w:val="single"/>
        </w:rPr>
        <w:t>/s/William Cote</w:t>
      </w:r>
    </w:p>
    <w:p w:rsidR="00FA3F7F" w:rsidRDefault="00FA3F7F" w:rsidP="006C0D0F">
      <w:pPr>
        <w:pStyle w:val="EnvelopeReturn"/>
      </w:pPr>
      <w:r>
        <w:tab/>
        <w:t>Michael H. Everngam</w:t>
      </w:r>
      <w:r>
        <w:tab/>
      </w:r>
      <w:r>
        <w:tab/>
        <w:t>Craig R. Seymour</w:t>
      </w:r>
      <w:r>
        <w:tab/>
      </w:r>
      <w:r>
        <w:tab/>
        <w:t>William Cote</w:t>
      </w:r>
    </w:p>
    <w:p w:rsidR="00FA3F7F" w:rsidRDefault="00FA3F7F" w:rsidP="006C0D0F">
      <w:pPr>
        <w:pStyle w:val="EnvelopeReturn"/>
      </w:pPr>
      <w:r>
        <w:tab/>
        <w:t>Chair</w:t>
      </w:r>
      <w:r>
        <w:tab/>
      </w:r>
      <w:r>
        <w:tab/>
      </w:r>
      <w:r>
        <w:tab/>
      </w:r>
      <w:r>
        <w:tab/>
        <w:t>Member</w:t>
      </w:r>
      <w:r>
        <w:tab/>
      </w:r>
      <w:r>
        <w:tab/>
      </w:r>
      <w:r>
        <w:tab/>
        <w:t>Member</w:t>
      </w:r>
    </w:p>
    <w:sectPr w:rsidR="00FA3F7F" w:rsidSect="00BE545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D9E" w:rsidRDefault="00FB4D9E" w:rsidP="0078102E">
      <w:r>
        <w:separator/>
      </w:r>
    </w:p>
  </w:endnote>
  <w:endnote w:type="continuationSeparator" w:id="0">
    <w:p w:rsidR="00FB4D9E" w:rsidRDefault="00FB4D9E" w:rsidP="00781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576284"/>
      <w:docPartObj>
        <w:docPartGallery w:val="Page Numbers (Bottom of Page)"/>
        <w:docPartUnique/>
      </w:docPartObj>
    </w:sdtPr>
    <w:sdtEndPr>
      <w:rPr>
        <w:noProof/>
      </w:rPr>
    </w:sdtEndPr>
    <w:sdtContent>
      <w:p w:rsidR="0078102E" w:rsidRDefault="00BA6CC7">
        <w:pPr>
          <w:pStyle w:val="Footer"/>
          <w:jc w:val="center"/>
        </w:pPr>
        <w:r>
          <w:fldChar w:fldCharType="begin"/>
        </w:r>
        <w:r w:rsidR="0078102E">
          <w:instrText xml:space="preserve"> PAGE   \* MERGEFORMAT </w:instrText>
        </w:r>
        <w:r>
          <w:fldChar w:fldCharType="separate"/>
        </w:r>
        <w:r w:rsidR="0015540A">
          <w:rPr>
            <w:noProof/>
          </w:rPr>
          <w:t>4</w:t>
        </w:r>
        <w:r>
          <w:rPr>
            <w:noProof/>
          </w:rPr>
          <w:fldChar w:fldCharType="end"/>
        </w:r>
      </w:p>
    </w:sdtContent>
  </w:sdt>
  <w:p w:rsidR="0078102E" w:rsidRDefault="007810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D9E" w:rsidRDefault="00FB4D9E" w:rsidP="0078102E">
      <w:r>
        <w:separator/>
      </w:r>
    </w:p>
  </w:footnote>
  <w:footnote w:type="continuationSeparator" w:id="0">
    <w:p w:rsidR="00FB4D9E" w:rsidRDefault="00FB4D9E" w:rsidP="007810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26E9"/>
    <w:multiLevelType w:val="hybridMultilevel"/>
    <w:tmpl w:val="AEDCD0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785EFB"/>
    <w:multiLevelType w:val="hybridMultilevel"/>
    <w:tmpl w:val="15D044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0A3CCB"/>
    <w:multiLevelType w:val="hybridMultilevel"/>
    <w:tmpl w:val="C150A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1086F"/>
    <w:multiLevelType w:val="hybridMultilevel"/>
    <w:tmpl w:val="AFE44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25005"/>
    <w:multiLevelType w:val="hybridMultilevel"/>
    <w:tmpl w:val="1D2ECC1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4753C70"/>
    <w:multiLevelType w:val="hybridMultilevel"/>
    <w:tmpl w:val="C150CD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4B09D3"/>
    <w:multiLevelType w:val="hybridMultilevel"/>
    <w:tmpl w:val="C150A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F1EEE"/>
    <w:multiLevelType w:val="hybridMultilevel"/>
    <w:tmpl w:val="9DCC08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6B51589"/>
    <w:multiLevelType w:val="hybridMultilevel"/>
    <w:tmpl w:val="C548D4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67614D7"/>
    <w:multiLevelType w:val="hybridMultilevel"/>
    <w:tmpl w:val="AAC839C0"/>
    <w:lvl w:ilvl="0" w:tplc="680AB80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952A6F"/>
    <w:multiLevelType w:val="hybridMultilevel"/>
    <w:tmpl w:val="AEDCD0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DF6087"/>
    <w:multiLevelType w:val="hybridMultilevel"/>
    <w:tmpl w:val="AFE44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976D80"/>
    <w:multiLevelType w:val="hybridMultilevel"/>
    <w:tmpl w:val="3F0E733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DF574C4"/>
    <w:multiLevelType w:val="hybridMultilevel"/>
    <w:tmpl w:val="9DCC08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12"/>
  </w:num>
  <w:num w:numId="5">
    <w:abstractNumId w:val="10"/>
  </w:num>
  <w:num w:numId="6">
    <w:abstractNumId w:val="5"/>
  </w:num>
  <w:num w:numId="7">
    <w:abstractNumId w:val="3"/>
  </w:num>
  <w:num w:numId="8">
    <w:abstractNumId w:val="7"/>
  </w:num>
  <w:num w:numId="9">
    <w:abstractNumId w:val="4"/>
  </w:num>
  <w:num w:numId="10">
    <w:abstractNumId w:val="9"/>
  </w:num>
  <w:num w:numId="11">
    <w:abstractNumId w:val="13"/>
  </w:num>
  <w:num w:numId="12">
    <w:abstractNumId w:val="8"/>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attachedTemplate r:id="rId1"/>
  <w:defaultTabStop w:val="720"/>
  <w:characterSpacingControl w:val="doNotCompress"/>
  <w:footnotePr>
    <w:footnote w:id="-1"/>
    <w:footnote w:id="0"/>
  </w:footnotePr>
  <w:endnotePr>
    <w:endnote w:id="-1"/>
    <w:endnote w:id="0"/>
  </w:endnotePr>
  <w:compat/>
  <w:rsids>
    <w:rsidRoot w:val="0078102E"/>
    <w:rsid w:val="00015930"/>
    <w:rsid w:val="000B0CCD"/>
    <w:rsid w:val="00151953"/>
    <w:rsid w:val="0015540A"/>
    <w:rsid w:val="00206FA3"/>
    <w:rsid w:val="006C0D0F"/>
    <w:rsid w:val="0078102E"/>
    <w:rsid w:val="009B5142"/>
    <w:rsid w:val="00AA190D"/>
    <w:rsid w:val="00BA6CC7"/>
    <w:rsid w:val="00BE5455"/>
    <w:rsid w:val="00D62048"/>
    <w:rsid w:val="00EC00BC"/>
    <w:rsid w:val="00FA3F7F"/>
    <w:rsid w:val="00FB4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CCD"/>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0B0CCD"/>
    <w:rPr>
      <w:rFonts w:cs="Arial"/>
      <w:sz w:val="20"/>
    </w:rPr>
  </w:style>
  <w:style w:type="paragraph" w:styleId="ListParagraph">
    <w:name w:val="List Paragraph"/>
    <w:basedOn w:val="Normal"/>
    <w:uiPriority w:val="34"/>
    <w:qFormat/>
    <w:rsid w:val="0078102E"/>
    <w:pPr>
      <w:ind w:left="720"/>
      <w:contextualSpacing/>
    </w:pPr>
    <w:rPr>
      <w:rFonts w:asciiTheme="minorHAnsi" w:eastAsiaTheme="minorHAnsi" w:hAnsiTheme="minorHAnsi"/>
      <w:sz w:val="24"/>
      <w:szCs w:val="24"/>
      <w:lang w:bidi="en-US"/>
    </w:rPr>
  </w:style>
  <w:style w:type="character" w:styleId="Hyperlink">
    <w:name w:val="Hyperlink"/>
    <w:basedOn w:val="DefaultParagraphFont"/>
    <w:uiPriority w:val="99"/>
    <w:unhideWhenUsed/>
    <w:rsid w:val="0078102E"/>
    <w:rPr>
      <w:color w:val="0563C1" w:themeColor="hyperlink"/>
      <w:u w:val="single"/>
    </w:rPr>
  </w:style>
  <w:style w:type="paragraph" w:styleId="Header">
    <w:name w:val="header"/>
    <w:basedOn w:val="Normal"/>
    <w:link w:val="HeaderChar"/>
    <w:uiPriority w:val="99"/>
    <w:unhideWhenUsed/>
    <w:rsid w:val="0078102E"/>
    <w:pPr>
      <w:tabs>
        <w:tab w:val="center" w:pos="4680"/>
        <w:tab w:val="right" w:pos="9360"/>
      </w:tabs>
    </w:pPr>
  </w:style>
  <w:style w:type="character" w:customStyle="1" w:styleId="HeaderChar">
    <w:name w:val="Header Char"/>
    <w:basedOn w:val="DefaultParagraphFont"/>
    <w:link w:val="Header"/>
    <w:uiPriority w:val="99"/>
    <w:rsid w:val="0078102E"/>
    <w:rPr>
      <w:rFonts w:ascii="Arial" w:eastAsia="Times New Roman" w:hAnsi="Arial" w:cs="Times New Roman"/>
      <w:szCs w:val="20"/>
    </w:rPr>
  </w:style>
  <w:style w:type="paragraph" w:styleId="Footer">
    <w:name w:val="footer"/>
    <w:basedOn w:val="Normal"/>
    <w:link w:val="FooterChar"/>
    <w:uiPriority w:val="99"/>
    <w:unhideWhenUsed/>
    <w:rsid w:val="0078102E"/>
    <w:pPr>
      <w:tabs>
        <w:tab w:val="center" w:pos="4680"/>
        <w:tab w:val="right" w:pos="9360"/>
      </w:tabs>
    </w:pPr>
  </w:style>
  <w:style w:type="character" w:customStyle="1" w:styleId="FooterChar">
    <w:name w:val="Footer Char"/>
    <w:basedOn w:val="DefaultParagraphFont"/>
    <w:link w:val="Footer"/>
    <w:uiPriority w:val="99"/>
    <w:rsid w:val="0078102E"/>
    <w:rPr>
      <w:rFonts w:ascii="Arial" w:eastAsia="Times New Roman" w:hAnsi="Arial" w:cs="Times New Roman"/>
      <w:szCs w:val="20"/>
    </w:rPr>
  </w:style>
  <w:style w:type="paragraph" w:styleId="BalloonText">
    <w:name w:val="Balloon Text"/>
    <w:basedOn w:val="Normal"/>
    <w:link w:val="BalloonTextChar"/>
    <w:uiPriority w:val="99"/>
    <w:semiHidden/>
    <w:unhideWhenUsed/>
    <w:rsid w:val="00015930"/>
    <w:rPr>
      <w:rFonts w:ascii="Tahoma" w:hAnsi="Tahoma" w:cs="Tahoma"/>
      <w:sz w:val="16"/>
      <w:szCs w:val="16"/>
    </w:rPr>
  </w:style>
  <w:style w:type="character" w:customStyle="1" w:styleId="BalloonTextChar">
    <w:name w:val="Balloon Text Char"/>
    <w:basedOn w:val="DefaultParagraphFont"/>
    <w:link w:val="BalloonText"/>
    <w:uiPriority w:val="99"/>
    <w:semiHidden/>
    <w:rsid w:val="0001593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Documents\Custom%20Office%20Templates\Trustees%20of%20the%20Trust%20Fu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Trustees of the Trust Funds</Template>
  <TotalTime>15</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Seymour</dc:creator>
  <cp:lastModifiedBy>Mike Everngam</cp:lastModifiedBy>
  <cp:revision>5</cp:revision>
  <dcterms:created xsi:type="dcterms:W3CDTF">2015-05-30T20:54:00Z</dcterms:created>
  <dcterms:modified xsi:type="dcterms:W3CDTF">2015-06-12T14:31:00Z</dcterms:modified>
</cp:coreProperties>
</file>