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B802" w14:textId="47374818" w:rsidR="00D55E1D" w:rsidRPr="00D55E1D" w:rsidRDefault="00D55E1D" w:rsidP="00D55E1D">
      <w:pPr>
        <w:ind w:right="990"/>
        <w:jc w:val="center"/>
        <w:rPr>
          <w:rFonts w:ascii="Book Antiqua" w:hAnsi="Book Antiqua"/>
          <w:b/>
          <w:bCs/>
          <w:u w:val="single"/>
        </w:rPr>
      </w:pPr>
      <w:bookmarkStart w:id="0" w:name="_Hlk123549656"/>
      <w:r w:rsidRPr="00D55E1D">
        <w:rPr>
          <w:rFonts w:ascii="Book Antiqua" w:hAnsi="Book Antiqua"/>
          <w:b/>
          <w:bCs/>
          <w:u w:val="single"/>
        </w:rPr>
        <w:t xml:space="preserve">SOLAR </w:t>
      </w:r>
      <w:r w:rsidR="002B4DFD">
        <w:rPr>
          <w:rFonts w:ascii="Book Antiqua" w:hAnsi="Book Antiqua"/>
          <w:b/>
          <w:bCs/>
          <w:u w:val="single"/>
        </w:rPr>
        <w:t xml:space="preserve">ENERGY SYSTEMS </w:t>
      </w:r>
      <w:r w:rsidRPr="00D55E1D">
        <w:rPr>
          <w:rFonts w:ascii="Book Antiqua" w:hAnsi="Book Antiqua"/>
          <w:b/>
          <w:bCs/>
          <w:u w:val="single"/>
        </w:rPr>
        <w:t>ORDINANCE</w:t>
      </w:r>
    </w:p>
    <w:p w14:paraId="03D8F823" w14:textId="4F1B7E63" w:rsidR="00D55E1D" w:rsidRDefault="00D55E1D" w:rsidP="00D55E1D">
      <w:pPr>
        <w:ind w:right="990"/>
        <w:jc w:val="center"/>
        <w:rPr>
          <w:rFonts w:ascii="Book Antiqua" w:hAnsi="Book Antiqua"/>
        </w:rPr>
      </w:pPr>
      <w:r>
        <w:rPr>
          <w:rFonts w:ascii="Book Antiqua" w:hAnsi="Book Antiqua"/>
        </w:rPr>
        <w:t>Durham, New Hampshire</w:t>
      </w:r>
    </w:p>
    <w:p w14:paraId="6CCC725B" w14:textId="3A9BF487" w:rsidR="00D55E1D" w:rsidRDefault="00D55E1D" w:rsidP="00D55E1D">
      <w:pPr>
        <w:ind w:right="990"/>
        <w:jc w:val="center"/>
        <w:rPr>
          <w:rFonts w:ascii="Book Antiqua" w:hAnsi="Book Antiqua"/>
        </w:rPr>
      </w:pPr>
      <w:r>
        <w:rPr>
          <w:rFonts w:ascii="Book Antiqua" w:hAnsi="Book Antiqua"/>
        </w:rPr>
        <w:t>Amendments to the Zoning Ordinance</w:t>
      </w:r>
    </w:p>
    <w:p w14:paraId="0C00C027" w14:textId="35F2C006" w:rsidR="00D55E1D" w:rsidRPr="00F00627" w:rsidRDefault="00D55E1D" w:rsidP="00D55E1D">
      <w:pPr>
        <w:ind w:right="990"/>
        <w:jc w:val="center"/>
        <w:rPr>
          <w:rFonts w:ascii="Book Antiqua" w:hAnsi="Book Antiqua"/>
          <w:b/>
          <w:bCs/>
          <w:i/>
          <w:iCs/>
        </w:rPr>
      </w:pPr>
      <w:r w:rsidRPr="00F00627">
        <w:rPr>
          <w:rFonts w:ascii="Book Antiqua" w:hAnsi="Book Antiqua"/>
          <w:b/>
          <w:bCs/>
          <w:i/>
          <w:iCs/>
        </w:rPr>
        <w:t>Adopted by Town Council on February 6, 2023</w:t>
      </w:r>
    </w:p>
    <w:p w14:paraId="25F56EC2" w14:textId="77777777" w:rsidR="00D55E1D" w:rsidRDefault="00D55E1D" w:rsidP="004B5C12">
      <w:pPr>
        <w:ind w:right="990"/>
        <w:rPr>
          <w:rFonts w:ascii="Book Antiqua" w:hAnsi="Book Antiqua"/>
        </w:rPr>
      </w:pPr>
    </w:p>
    <w:p w14:paraId="50A41EEF" w14:textId="444D21C3" w:rsidR="004B5C12" w:rsidRPr="00F00627" w:rsidRDefault="00F00627" w:rsidP="004B5C12">
      <w:pPr>
        <w:ind w:right="990"/>
        <w:rPr>
          <w:rStyle w:val="fontstyle01"/>
          <w:rFonts w:ascii="Book Antiqua" w:hAnsi="Book Antiqua"/>
          <w:bCs/>
          <w:color w:val="auto"/>
        </w:rPr>
      </w:pPr>
      <w:r>
        <w:rPr>
          <w:rFonts w:ascii="Book Antiqua" w:hAnsi="Book Antiqua"/>
        </w:rPr>
        <w:t>Wording that was added to the ordinance is shown</w:t>
      </w:r>
      <w:r w:rsidR="001B7F57" w:rsidRPr="00887B99">
        <w:rPr>
          <w:rFonts w:ascii="Book Antiqua" w:hAnsi="Book Antiqua"/>
        </w:rPr>
        <w:t xml:space="preserve"> with </w:t>
      </w:r>
      <w:r w:rsidR="001B7F57" w:rsidRPr="0074571E">
        <w:rPr>
          <w:rFonts w:ascii="Book Antiqua" w:hAnsi="Book Antiqua"/>
          <w:b/>
          <w:color w:val="0070C0"/>
          <w:u w:val="single"/>
        </w:rPr>
        <w:t>underscor</w:t>
      </w:r>
      <w:r>
        <w:rPr>
          <w:rFonts w:ascii="Book Antiqua" w:hAnsi="Book Antiqua"/>
          <w:b/>
          <w:color w:val="0070C0"/>
          <w:u w:val="single"/>
        </w:rPr>
        <w:t>ed</w:t>
      </w:r>
      <w:r>
        <w:rPr>
          <w:rFonts w:ascii="Book Antiqua" w:hAnsi="Book Antiqua"/>
          <w:bCs/>
          <w:color w:val="auto"/>
        </w:rPr>
        <w:t xml:space="preserve"> type.</w:t>
      </w:r>
    </w:p>
    <w:p w14:paraId="618FD8F2" w14:textId="77F12B34" w:rsidR="004B5C12" w:rsidRDefault="004B5C12" w:rsidP="004B5C12">
      <w:pPr>
        <w:ind w:right="990"/>
        <w:rPr>
          <w:rStyle w:val="fontstyle01"/>
          <w:rFonts w:ascii="Book Antiqua" w:hAnsi="Book Antiqua"/>
        </w:rPr>
      </w:pPr>
    </w:p>
    <w:p w14:paraId="37AFE84F" w14:textId="77777777" w:rsidR="004B5C12" w:rsidRPr="0049244A" w:rsidRDefault="004B5C12" w:rsidP="004B5C12">
      <w:pPr>
        <w:pStyle w:val="ListParagraph"/>
        <w:numPr>
          <w:ilvl w:val="0"/>
          <w:numId w:val="2"/>
        </w:numPr>
        <w:spacing w:after="0" w:line="240" w:lineRule="auto"/>
        <w:ind w:left="360"/>
        <w:contextualSpacing w:val="0"/>
        <w:rPr>
          <w:rFonts w:ascii="Times New Roman" w:hAnsi="Times New Roman"/>
          <w:b/>
          <w:i/>
          <w:sz w:val="25"/>
          <w:szCs w:val="25"/>
        </w:rPr>
      </w:pPr>
      <w:r w:rsidRPr="0049244A">
        <w:rPr>
          <w:rFonts w:ascii="Times New Roman" w:hAnsi="Times New Roman"/>
          <w:b/>
          <w:i/>
          <w:sz w:val="25"/>
          <w:szCs w:val="25"/>
        </w:rPr>
        <w:t>Make the following changes in Article II. Definitions.</w:t>
      </w:r>
    </w:p>
    <w:p w14:paraId="726FE3B5" w14:textId="77777777" w:rsidR="004B5C12" w:rsidRPr="0049244A" w:rsidRDefault="004B5C12" w:rsidP="004B5C12">
      <w:pPr>
        <w:pStyle w:val="ListParagraph"/>
        <w:ind w:left="360"/>
        <w:rPr>
          <w:rFonts w:ascii="Times New Roman" w:hAnsi="Times New Roman"/>
          <w:b/>
          <w:i/>
          <w:sz w:val="25"/>
          <w:szCs w:val="25"/>
        </w:rPr>
      </w:pPr>
    </w:p>
    <w:p w14:paraId="497F7BC2" w14:textId="77777777" w:rsidR="004B5C12" w:rsidRPr="0049244A" w:rsidRDefault="004B5C12" w:rsidP="003E6E38">
      <w:pPr>
        <w:pStyle w:val="ListParagraph"/>
        <w:numPr>
          <w:ilvl w:val="0"/>
          <w:numId w:val="9"/>
        </w:numPr>
        <w:spacing w:after="0" w:line="240" w:lineRule="auto"/>
        <w:ind w:left="720"/>
        <w:contextualSpacing w:val="0"/>
        <w:rPr>
          <w:rFonts w:ascii="Times New Roman" w:hAnsi="Times New Roman"/>
          <w:sz w:val="25"/>
          <w:szCs w:val="25"/>
        </w:rPr>
      </w:pPr>
      <w:r w:rsidRPr="0049244A">
        <w:rPr>
          <w:rFonts w:ascii="Times New Roman" w:hAnsi="Times New Roman"/>
          <w:b/>
          <w:i/>
          <w:sz w:val="25"/>
          <w:szCs w:val="25"/>
        </w:rPr>
        <w:t xml:space="preserve">Add this new section for “Solar Energy Systems.”  Place this section right before “Solid Waste” and retain the order as shown here.  </w:t>
      </w:r>
    </w:p>
    <w:p w14:paraId="5CB64B19" w14:textId="77777777" w:rsidR="00D55E1D" w:rsidRDefault="00D55E1D" w:rsidP="004B5C12">
      <w:pPr>
        <w:ind w:firstLine="360"/>
        <w:rPr>
          <w:color w:val="4472C4" w:themeColor="accent1"/>
          <w:sz w:val="25"/>
          <w:szCs w:val="25"/>
          <w:u w:val="single"/>
        </w:rPr>
      </w:pPr>
    </w:p>
    <w:p w14:paraId="4967CDED" w14:textId="4AF60F50" w:rsidR="004B5C12" w:rsidRPr="00253FA9" w:rsidRDefault="004B5C12" w:rsidP="004B5C12">
      <w:pPr>
        <w:ind w:firstLine="360"/>
        <w:rPr>
          <w:color w:val="0070C0"/>
          <w:sz w:val="25"/>
          <w:szCs w:val="25"/>
          <w:u w:val="single"/>
        </w:rPr>
      </w:pPr>
      <w:r w:rsidRPr="00253FA9">
        <w:rPr>
          <w:color w:val="0070C0"/>
          <w:sz w:val="25"/>
          <w:szCs w:val="25"/>
          <w:u w:val="single"/>
        </w:rPr>
        <w:t>SOLAR ENERGY SYSTEMS – Specific definitions pertinent to solar energy systems follow.</w:t>
      </w:r>
    </w:p>
    <w:p w14:paraId="2E53DCC8" w14:textId="77777777" w:rsidR="004B5C12" w:rsidRPr="00253FA9" w:rsidRDefault="004B5C12" w:rsidP="004B5C12">
      <w:pPr>
        <w:ind w:firstLine="360"/>
        <w:rPr>
          <w:color w:val="0070C0"/>
          <w:sz w:val="25"/>
          <w:szCs w:val="25"/>
          <w:u w:val="single"/>
        </w:rPr>
      </w:pPr>
    </w:p>
    <w:p w14:paraId="6249BCC5" w14:textId="77777777" w:rsidR="004B5C12" w:rsidRPr="00253FA9" w:rsidRDefault="004B5C12" w:rsidP="004B5C12">
      <w:pPr>
        <w:ind w:left="720"/>
        <w:rPr>
          <w:color w:val="0070C0"/>
          <w:sz w:val="25"/>
          <w:szCs w:val="25"/>
          <w:u w:val="single"/>
        </w:rPr>
      </w:pPr>
      <w:r w:rsidRPr="00253FA9">
        <w:rPr>
          <w:color w:val="0070C0"/>
          <w:sz w:val="25"/>
          <w:szCs w:val="25"/>
          <w:u w:val="single"/>
        </w:rPr>
        <w:t>Building-Mounted Solar Energy System − A solar energy system attached to and completely supported by a building that does not extend more than 5 feet beyond the building footprint.  The system may include necessary accessory equipment that is ground mounted.</w:t>
      </w:r>
    </w:p>
    <w:p w14:paraId="41DBC2C9" w14:textId="77777777" w:rsidR="004B5C12" w:rsidRPr="00253FA9" w:rsidRDefault="004B5C12" w:rsidP="004B5C12">
      <w:pPr>
        <w:ind w:left="720"/>
        <w:rPr>
          <w:color w:val="0070C0"/>
          <w:sz w:val="25"/>
          <w:szCs w:val="25"/>
          <w:u w:val="single"/>
        </w:rPr>
      </w:pPr>
    </w:p>
    <w:p w14:paraId="26CC5E1B" w14:textId="77777777" w:rsidR="004B5C12" w:rsidRPr="00253FA9" w:rsidRDefault="004B5C12" w:rsidP="004B5C12">
      <w:pPr>
        <w:ind w:left="720"/>
        <w:rPr>
          <w:color w:val="0070C0"/>
          <w:sz w:val="25"/>
          <w:szCs w:val="25"/>
          <w:u w:val="single"/>
        </w:rPr>
      </w:pPr>
      <w:r w:rsidRPr="00253FA9">
        <w:rPr>
          <w:color w:val="0070C0"/>
          <w:sz w:val="25"/>
          <w:szCs w:val="25"/>
          <w:u w:val="single"/>
        </w:rPr>
        <w:t>Freestanding Solar Energy System − A ground-mounted solar energy system, including a stationary or tracking system (either single axis or dual axis).  A Solar Photovoltaic (PV) Parking Canopy is not a Freestanding Solar Energy System.</w:t>
      </w:r>
    </w:p>
    <w:p w14:paraId="0942F76C" w14:textId="77777777" w:rsidR="004B5C12" w:rsidRPr="00253FA9" w:rsidRDefault="004B5C12" w:rsidP="004B5C12">
      <w:pPr>
        <w:ind w:left="720"/>
        <w:rPr>
          <w:color w:val="0070C0"/>
          <w:sz w:val="25"/>
          <w:szCs w:val="25"/>
          <w:u w:val="single"/>
        </w:rPr>
      </w:pPr>
    </w:p>
    <w:p w14:paraId="691A93E4" w14:textId="77777777" w:rsidR="004B5C12" w:rsidRPr="00253FA9" w:rsidRDefault="004B5C12" w:rsidP="004B5C12">
      <w:pPr>
        <w:ind w:left="720"/>
        <w:rPr>
          <w:color w:val="0070C0"/>
          <w:sz w:val="25"/>
          <w:szCs w:val="25"/>
          <w:u w:val="single"/>
        </w:rPr>
      </w:pPr>
      <w:r w:rsidRPr="00253FA9">
        <w:rPr>
          <w:color w:val="0070C0"/>
          <w:sz w:val="25"/>
          <w:szCs w:val="25"/>
          <w:u w:val="single"/>
        </w:rPr>
        <w:t>Group Net Metering Host, Small – A Solar Photovoltaic (PV) System less than or equal to 100 KW that shares energy and Net Metering benefits with members of a registered group per N.H. PUC 909.</w:t>
      </w:r>
    </w:p>
    <w:p w14:paraId="3BA891BB" w14:textId="77777777" w:rsidR="004B5C12" w:rsidRPr="00253FA9" w:rsidRDefault="004B5C12" w:rsidP="004B5C12">
      <w:pPr>
        <w:rPr>
          <w:b/>
          <w:i/>
          <w:color w:val="0070C0"/>
          <w:sz w:val="25"/>
          <w:szCs w:val="25"/>
          <w:u w:val="single"/>
        </w:rPr>
      </w:pPr>
    </w:p>
    <w:p w14:paraId="4CEB8F18" w14:textId="77777777" w:rsidR="004B5C12" w:rsidRPr="00253FA9" w:rsidRDefault="004B5C12" w:rsidP="004B5C12">
      <w:pPr>
        <w:ind w:left="720"/>
        <w:rPr>
          <w:color w:val="0070C0"/>
          <w:sz w:val="25"/>
          <w:szCs w:val="25"/>
          <w:u w:val="single"/>
        </w:rPr>
      </w:pPr>
      <w:r w:rsidRPr="00253FA9">
        <w:rPr>
          <w:color w:val="0070C0"/>
          <w:sz w:val="25"/>
          <w:szCs w:val="25"/>
          <w:u w:val="single"/>
        </w:rPr>
        <w:t>Group Net Metering Host, Large – A Solar Photovoltaic (PV) System greater than 100 KW and less than 5 MW that shares energy and Net Metering benefits with members of a registered group per N.H. PUC 909.</w:t>
      </w:r>
    </w:p>
    <w:p w14:paraId="03DD7599" w14:textId="77777777" w:rsidR="004B5C12" w:rsidRPr="00253FA9" w:rsidRDefault="004B5C12" w:rsidP="004B5C12">
      <w:pPr>
        <w:ind w:left="720"/>
        <w:rPr>
          <w:color w:val="0070C0"/>
          <w:sz w:val="25"/>
          <w:szCs w:val="25"/>
          <w:u w:val="single"/>
        </w:rPr>
      </w:pPr>
    </w:p>
    <w:p w14:paraId="61F514F2" w14:textId="77777777" w:rsidR="004B5C12" w:rsidRPr="00253FA9" w:rsidRDefault="004B5C12" w:rsidP="004B5C12">
      <w:pPr>
        <w:ind w:left="720"/>
        <w:rPr>
          <w:color w:val="0070C0"/>
          <w:sz w:val="25"/>
          <w:szCs w:val="25"/>
          <w:u w:val="single"/>
        </w:rPr>
      </w:pPr>
      <w:r w:rsidRPr="00253FA9">
        <w:rPr>
          <w:color w:val="0070C0"/>
          <w:sz w:val="25"/>
          <w:szCs w:val="25"/>
          <w:u w:val="single"/>
        </w:rPr>
        <w:t>Multi-unit Residential or Nonresidential Solar Energy System−</w:t>
      </w:r>
      <w:r w:rsidRPr="00253FA9">
        <w:rPr>
          <w:color w:val="0070C0"/>
          <w:u w:val="single"/>
        </w:rPr>
        <w:t xml:space="preserve"> </w:t>
      </w:r>
      <w:r w:rsidRPr="00253FA9">
        <w:rPr>
          <w:color w:val="0070C0"/>
          <w:sz w:val="25"/>
          <w:szCs w:val="25"/>
          <w:u w:val="single"/>
        </w:rPr>
        <w:t xml:space="preserve">An accessory use designed to provide solar energy for the principal and accessory uses of Multi-Unit Residential, mixed Use with Residential and other Nonresidential uses. </w:t>
      </w:r>
    </w:p>
    <w:p w14:paraId="123161C2" w14:textId="77777777" w:rsidR="004B5C12" w:rsidRPr="00253FA9" w:rsidRDefault="004B5C12" w:rsidP="004B5C12">
      <w:pPr>
        <w:ind w:left="720"/>
        <w:rPr>
          <w:color w:val="0070C0"/>
          <w:sz w:val="25"/>
          <w:szCs w:val="25"/>
          <w:u w:val="single"/>
        </w:rPr>
      </w:pPr>
    </w:p>
    <w:p w14:paraId="0B7FFACA" w14:textId="586BF285" w:rsidR="004B5C12" w:rsidRPr="00253FA9" w:rsidRDefault="004B5C12" w:rsidP="004B5C12">
      <w:pPr>
        <w:ind w:left="720"/>
        <w:rPr>
          <w:color w:val="0070C0"/>
          <w:sz w:val="25"/>
          <w:szCs w:val="25"/>
          <w:u w:val="single"/>
        </w:rPr>
      </w:pPr>
      <w:r w:rsidRPr="00253FA9">
        <w:rPr>
          <w:color w:val="0070C0"/>
          <w:sz w:val="25"/>
          <w:szCs w:val="25"/>
          <w:u w:val="single"/>
        </w:rPr>
        <w:t xml:space="preserve"> Name Plate Rating - The maximum sustained electric power-generating capacity of the Solar Energy System.</w:t>
      </w:r>
    </w:p>
    <w:p w14:paraId="47C4CA69" w14:textId="77777777" w:rsidR="004B5C12" w:rsidRPr="00253FA9" w:rsidRDefault="004B5C12" w:rsidP="004B5C12">
      <w:pPr>
        <w:ind w:left="720"/>
        <w:rPr>
          <w:color w:val="0070C0"/>
          <w:sz w:val="25"/>
          <w:szCs w:val="25"/>
          <w:u w:val="single"/>
        </w:rPr>
      </w:pPr>
    </w:p>
    <w:p w14:paraId="6395EC5E" w14:textId="395AE3B8" w:rsidR="004B5C12" w:rsidRPr="00253FA9" w:rsidRDefault="004B5C12" w:rsidP="004B5C12">
      <w:pPr>
        <w:ind w:left="720"/>
        <w:rPr>
          <w:color w:val="0070C0"/>
          <w:sz w:val="25"/>
          <w:szCs w:val="25"/>
          <w:u w:val="single"/>
        </w:rPr>
      </w:pPr>
      <w:r w:rsidRPr="00253FA9">
        <w:rPr>
          <w:color w:val="0070C0"/>
          <w:sz w:val="25"/>
          <w:szCs w:val="25"/>
          <w:u w:val="single"/>
        </w:rPr>
        <w:t xml:space="preserve">Solar Energy − Radiant energy emitted by the sun. </w:t>
      </w:r>
    </w:p>
    <w:p w14:paraId="0999C445" w14:textId="77777777" w:rsidR="004B5C12" w:rsidRPr="00253FA9" w:rsidRDefault="004B5C12" w:rsidP="004B5C12">
      <w:pPr>
        <w:ind w:left="720"/>
        <w:rPr>
          <w:color w:val="0070C0"/>
          <w:sz w:val="25"/>
          <w:szCs w:val="25"/>
          <w:u w:val="single"/>
        </w:rPr>
      </w:pPr>
    </w:p>
    <w:p w14:paraId="6B0B30AE" w14:textId="77777777" w:rsidR="004B5C12" w:rsidRPr="00253FA9" w:rsidRDefault="004B5C12" w:rsidP="004B5C12">
      <w:pPr>
        <w:ind w:left="720"/>
        <w:rPr>
          <w:color w:val="0070C0"/>
          <w:sz w:val="25"/>
          <w:szCs w:val="25"/>
          <w:u w:val="single"/>
        </w:rPr>
      </w:pPr>
      <w:r w:rsidRPr="00253FA9">
        <w:rPr>
          <w:color w:val="0070C0"/>
          <w:sz w:val="25"/>
          <w:szCs w:val="25"/>
          <w:u w:val="single"/>
        </w:rPr>
        <w:t xml:space="preserve">Single-Family or Duplex Residential Solar Energy System – A Solar Energy System that is an accessory use designed to generate energy for use at the property.  A Single-Family or Duplex Residential Solar System may also be a Small Group Net Metering Host up to the size limits specified in 175-109.N.4. </w:t>
      </w:r>
    </w:p>
    <w:p w14:paraId="27576418" w14:textId="77777777" w:rsidR="004B5C12" w:rsidRPr="00253FA9" w:rsidRDefault="004B5C12" w:rsidP="004B5C12">
      <w:pPr>
        <w:ind w:left="720"/>
        <w:rPr>
          <w:color w:val="0070C0"/>
          <w:sz w:val="25"/>
          <w:szCs w:val="25"/>
          <w:u w:val="single"/>
        </w:rPr>
      </w:pPr>
    </w:p>
    <w:p w14:paraId="5EA7C150" w14:textId="77777777" w:rsidR="004B5C12" w:rsidRPr="00253FA9" w:rsidRDefault="004B5C12" w:rsidP="004B5C12">
      <w:pPr>
        <w:ind w:left="720"/>
        <w:rPr>
          <w:color w:val="0070C0"/>
          <w:sz w:val="25"/>
          <w:szCs w:val="25"/>
          <w:u w:val="single"/>
        </w:rPr>
      </w:pPr>
      <w:r w:rsidRPr="00253FA9">
        <w:rPr>
          <w:color w:val="0070C0"/>
          <w:sz w:val="25"/>
          <w:szCs w:val="25"/>
          <w:u w:val="single"/>
        </w:rPr>
        <w:t>Solar Energy System − A structure and the related components used to transform solar energy into electricity (through a solar photovoltaic system) or heat (through a solar thermal system).</w:t>
      </w:r>
    </w:p>
    <w:p w14:paraId="64AFF6AC" w14:textId="77777777" w:rsidR="004B5C12" w:rsidRPr="00253FA9" w:rsidRDefault="004B5C12" w:rsidP="004B5C12">
      <w:pPr>
        <w:rPr>
          <w:color w:val="0070C0"/>
          <w:sz w:val="25"/>
          <w:szCs w:val="25"/>
          <w:u w:val="single"/>
        </w:rPr>
      </w:pPr>
    </w:p>
    <w:p w14:paraId="4D9711CE" w14:textId="77777777" w:rsidR="004B5C12" w:rsidRPr="00253FA9" w:rsidRDefault="004B5C12" w:rsidP="004B5C12">
      <w:pPr>
        <w:ind w:left="720"/>
        <w:rPr>
          <w:color w:val="0070C0"/>
          <w:sz w:val="25"/>
          <w:szCs w:val="25"/>
          <w:u w:val="single"/>
        </w:rPr>
      </w:pPr>
      <w:r w:rsidRPr="00253FA9">
        <w:rPr>
          <w:color w:val="0070C0"/>
          <w:sz w:val="25"/>
          <w:szCs w:val="25"/>
          <w:u w:val="single"/>
        </w:rPr>
        <w:t xml:space="preserve">Solar Photovoltaic (PV) Parking Canopy – An elevated structure that supports solar panels over a parking area.  A solar photovoltaic parking canopy is not a carport.  The structure is not used with single-family and duplex uses, nor is it considered </w:t>
      </w:r>
      <w:r w:rsidRPr="00253FA9">
        <w:rPr>
          <w:i/>
          <w:iCs/>
          <w:color w:val="0070C0"/>
          <w:sz w:val="25"/>
          <w:szCs w:val="25"/>
          <w:u w:val="single"/>
        </w:rPr>
        <w:t>structured parking</w:t>
      </w:r>
      <w:r w:rsidRPr="00253FA9">
        <w:rPr>
          <w:color w:val="0070C0"/>
          <w:sz w:val="25"/>
          <w:szCs w:val="25"/>
          <w:u w:val="single"/>
        </w:rPr>
        <w:t>.</w:t>
      </w:r>
    </w:p>
    <w:p w14:paraId="3792E633" w14:textId="77777777" w:rsidR="004B5C12" w:rsidRPr="00253FA9" w:rsidRDefault="004B5C12" w:rsidP="004B5C12">
      <w:pPr>
        <w:ind w:left="720"/>
        <w:rPr>
          <w:color w:val="0070C0"/>
          <w:sz w:val="25"/>
          <w:szCs w:val="25"/>
          <w:u w:val="single"/>
        </w:rPr>
      </w:pPr>
    </w:p>
    <w:p w14:paraId="19960E9E" w14:textId="77777777" w:rsidR="004B5C12" w:rsidRPr="00253FA9" w:rsidRDefault="004B5C12" w:rsidP="004B5C12">
      <w:pPr>
        <w:ind w:left="720"/>
        <w:rPr>
          <w:color w:val="0070C0"/>
          <w:sz w:val="25"/>
          <w:szCs w:val="25"/>
          <w:u w:val="single"/>
        </w:rPr>
      </w:pPr>
      <w:r w:rsidRPr="00253FA9">
        <w:rPr>
          <w:color w:val="0070C0"/>
          <w:sz w:val="25"/>
          <w:szCs w:val="25"/>
          <w:u w:val="single"/>
        </w:rPr>
        <w:t>Solar Photovoltaic (PV) System − A solar collection, mounting, inversion, storage and distribution system that converts sunlight into electricity.</w:t>
      </w:r>
    </w:p>
    <w:p w14:paraId="2CBB7FF1" w14:textId="77777777" w:rsidR="004B5C12" w:rsidRPr="00253FA9" w:rsidRDefault="004B5C12" w:rsidP="004B5C12">
      <w:pPr>
        <w:ind w:left="720"/>
        <w:rPr>
          <w:color w:val="0070C0"/>
          <w:sz w:val="25"/>
          <w:szCs w:val="25"/>
          <w:u w:val="single"/>
        </w:rPr>
      </w:pPr>
    </w:p>
    <w:p w14:paraId="30281166" w14:textId="77777777" w:rsidR="004B5C12" w:rsidRPr="00253FA9" w:rsidRDefault="004B5C12" w:rsidP="004B5C12">
      <w:pPr>
        <w:ind w:left="720"/>
        <w:rPr>
          <w:color w:val="0070C0"/>
          <w:u w:val="single"/>
        </w:rPr>
      </w:pPr>
      <w:r w:rsidRPr="00253FA9">
        <w:rPr>
          <w:color w:val="0070C0"/>
          <w:sz w:val="25"/>
          <w:szCs w:val="25"/>
          <w:u w:val="single"/>
        </w:rPr>
        <w:t xml:space="preserve">Solar Thermal System − </w:t>
      </w:r>
      <w:r w:rsidRPr="00253FA9">
        <w:rPr>
          <w:bCs/>
          <w:color w:val="0070C0"/>
          <w:sz w:val="25"/>
          <w:szCs w:val="25"/>
          <w:u w:val="single"/>
        </w:rPr>
        <w:t>A solar collection system that directly heats a heat-transfer medium.</w:t>
      </w:r>
    </w:p>
    <w:p w14:paraId="0C304F86" w14:textId="77777777" w:rsidR="004B5C12" w:rsidRPr="00253FA9" w:rsidRDefault="004B5C12" w:rsidP="004B5C12">
      <w:pPr>
        <w:tabs>
          <w:tab w:val="left" w:pos="720"/>
        </w:tabs>
        <w:ind w:left="720"/>
        <w:rPr>
          <w:color w:val="0070C0"/>
          <w:sz w:val="25"/>
          <w:szCs w:val="25"/>
          <w:u w:val="single"/>
        </w:rPr>
      </w:pPr>
    </w:p>
    <w:p w14:paraId="34677683" w14:textId="77777777" w:rsidR="004B5C12" w:rsidRPr="00253FA9" w:rsidRDefault="004B5C12" w:rsidP="004B5C12">
      <w:pPr>
        <w:ind w:left="720"/>
        <w:rPr>
          <w:color w:val="0070C0"/>
          <w:sz w:val="25"/>
          <w:szCs w:val="25"/>
          <w:u w:val="single"/>
        </w:rPr>
      </w:pPr>
      <w:r w:rsidRPr="00253FA9">
        <w:rPr>
          <w:color w:val="0070C0"/>
          <w:sz w:val="25"/>
          <w:szCs w:val="25"/>
          <w:u w:val="single"/>
        </w:rPr>
        <w:t>Utility-Scale Solar Energy System, Small - A limited electrical energy producer as defined in RSA 362-A:1 with a solar energy generating capacity equal to or less than 100 kW that generates energy for use off site by customers.  A Small Utility-Scale Solar Energy System does not function as a Small Group Net Metering Host.</w:t>
      </w:r>
    </w:p>
    <w:p w14:paraId="003A473A" w14:textId="77777777" w:rsidR="004B5C12" w:rsidRPr="00253FA9" w:rsidRDefault="004B5C12" w:rsidP="004B5C12">
      <w:pPr>
        <w:ind w:left="720"/>
        <w:rPr>
          <w:color w:val="0070C0"/>
          <w:sz w:val="25"/>
          <w:szCs w:val="25"/>
          <w:u w:val="single"/>
        </w:rPr>
      </w:pPr>
    </w:p>
    <w:p w14:paraId="56CB220F" w14:textId="77777777" w:rsidR="004B5C12" w:rsidRPr="00253FA9" w:rsidRDefault="004B5C12" w:rsidP="004B5C12">
      <w:pPr>
        <w:ind w:left="720"/>
        <w:rPr>
          <w:color w:val="0070C0"/>
          <w:sz w:val="25"/>
          <w:szCs w:val="25"/>
        </w:rPr>
      </w:pPr>
      <w:r w:rsidRPr="00253FA9">
        <w:rPr>
          <w:color w:val="0070C0"/>
          <w:sz w:val="25"/>
          <w:szCs w:val="25"/>
          <w:u w:val="single"/>
        </w:rPr>
        <w:t>Utility-Scale Solar Energy System, Large – A limited electrical energy producer as defined in RSA 362-A:1 with a solar energy generating capacity of greater than 100 kW and less than 5 MW that generates energy for use off site by customers.  A Large Utility-Scale Solar Energy System does not function as a Large Group Metering Host</w:t>
      </w:r>
    </w:p>
    <w:p w14:paraId="49E676D0" w14:textId="77777777" w:rsidR="004B5C12" w:rsidRPr="0049244A" w:rsidRDefault="004B5C12" w:rsidP="004B5C12">
      <w:pPr>
        <w:rPr>
          <w:sz w:val="25"/>
          <w:szCs w:val="25"/>
        </w:rPr>
      </w:pPr>
    </w:p>
    <w:p w14:paraId="1F8F7096" w14:textId="7445AC42" w:rsidR="004B5C12" w:rsidRPr="0049244A" w:rsidRDefault="004B5C12" w:rsidP="003E6E38">
      <w:pPr>
        <w:pStyle w:val="ListParagraph"/>
        <w:numPr>
          <w:ilvl w:val="0"/>
          <w:numId w:val="9"/>
        </w:numPr>
        <w:spacing w:after="0" w:line="276" w:lineRule="auto"/>
        <w:contextualSpacing w:val="0"/>
        <w:rPr>
          <w:rFonts w:ascii="Times New Roman" w:hAnsi="Times New Roman"/>
          <w:sz w:val="25"/>
          <w:szCs w:val="25"/>
        </w:rPr>
      </w:pPr>
      <w:r w:rsidRPr="0049244A">
        <w:rPr>
          <w:rFonts w:ascii="Times New Roman" w:hAnsi="Times New Roman"/>
          <w:b/>
          <w:i/>
          <w:sz w:val="25"/>
          <w:szCs w:val="25"/>
        </w:rPr>
        <w:t xml:space="preserve">Add this new section in Article II </w:t>
      </w:r>
      <w:r w:rsidR="00797A13">
        <w:rPr>
          <w:rFonts w:ascii="Times New Roman" w:hAnsi="Times New Roman"/>
          <w:b/>
          <w:i/>
          <w:sz w:val="25"/>
          <w:szCs w:val="25"/>
        </w:rPr>
        <w:t>D</w:t>
      </w:r>
      <w:r w:rsidRPr="0049244A">
        <w:rPr>
          <w:rFonts w:ascii="Times New Roman" w:hAnsi="Times New Roman"/>
          <w:b/>
          <w:i/>
          <w:sz w:val="25"/>
          <w:szCs w:val="25"/>
        </w:rPr>
        <w:t xml:space="preserve">efinitions </w:t>
      </w:r>
    </w:p>
    <w:p w14:paraId="5CDEE562" w14:textId="108908F2" w:rsidR="004B5C12" w:rsidRPr="001B7F57" w:rsidRDefault="004B5C12" w:rsidP="004B5C12">
      <w:pPr>
        <w:spacing w:line="276" w:lineRule="auto"/>
        <w:ind w:left="720"/>
        <w:rPr>
          <w:color w:val="4472C4" w:themeColor="accent1"/>
          <w:sz w:val="25"/>
          <w:szCs w:val="25"/>
          <w:u w:val="single"/>
        </w:rPr>
      </w:pPr>
      <w:r w:rsidRPr="001B7F57">
        <w:rPr>
          <w:color w:val="4472C4" w:themeColor="accent1"/>
          <w:sz w:val="25"/>
          <w:szCs w:val="25"/>
          <w:u w:val="single"/>
        </w:rPr>
        <w:t xml:space="preserve">CARPORT – A roofed structure designed to shelter motor vehicles and that is open on at least two sides.  A carport may be a freestanding structure or attached to a building. </w:t>
      </w:r>
    </w:p>
    <w:p w14:paraId="6E12D7F6" w14:textId="77777777" w:rsidR="004B5C12" w:rsidRPr="0049244A" w:rsidRDefault="004B5C12" w:rsidP="004B5C12">
      <w:pPr>
        <w:spacing w:line="276" w:lineRule="auto"/>
        <w:rPr>
          <w:sz w:val="25"/>
          <w:szCs w:val="25"/>
        </w:rPr>
      </w:pPr>
    </w:p>
    <w:p w14:paraId="63F3DFC4" w14:textId="77777777" w:rsidR="004B5C12" w:rsidRPr="0049244A" w:rsidRDefault="004B5C12" w:rsidP="004B5C12">
      <w:pPr>
        <w:spacing w:line="276" w:lineRule="auto"/>
        <w:ind w:firstLine="720"/>
        <w:rPr>
          <w:b/>
          <w:i/>
          <w:sz w:val="25"/>
          <w:szCs w:val="25"/>
        </w:rPr>
        <w:sectPr w:rsidR="004B5C12" w:rsidRPr="0049244A" w:rsidSect="00B4490D">
          <w:footerReference w:type="default" r:id="rId8"/>
          <w:pgSz w:w="12240" w:h="15840"/>
          <w:pgMar w:top="1440" w:right="1152" w:bottom="1440" w:left="1152" w:header="720" w:footer="432" w:gutter="0"/>
          <w:cols w:space="720"/>
          <w:docGrid w:linePitch="360"/>
        </w:sectPr>
      </w:pPr>
      <w:r w:rsidRPr="0049244A">
        <w:rPr>
          <w:sz w:val="25"/>
          <w:szCs w:val="25"/>
        </w:rPr>
        <w:tab/>
      </w:r>
    </w:p>
    <w:p w14:paraId="1DDC5585" w14:textId="77777777" w:rsidR="004B5C12" w:rsidRPr="0049244A" w:rsidRDefault="004B5C12" w:rsidP="004B5C12">
      <w:pPr>
        <w:pStyle w:val="ListParagraph"/>
        <w:numPr>
          <w:ilvl w:val="0"/>
          <w:numId w:val="2"/>
        </w:numPr>
        <w:spacing w:after="0" w:line="240" w:lineRule="auto"/>
        <w:ind w:left="450" w:hanging="450"/>
        <w:contextualSpacing w:val="0"/>
        <w:rPr>
          <w:rFonts w:ascii="Times New Roman" w:hAnsi="Times New Roman"/>
          <w:b/>
          <w:i/>
          <w:sz w:val="25"/>
          <w:szCs w:val="25"/>
        </w:rPr>
      </w:pPr>
      <w:r w:rsidRPr="0049244A">
        <w:rPr>
          <w:rFonts w:ascii="Times New Roman" w:hAnsi="Times New Roman"/>
          <w:b/>
          <w:i/>
          <w:sz w:val="25"/>
          <w:szCs w:val="25"/>
        </w:rPr>
        <w:lastRenderedPageBreak/>
        <w:t>Modify the Table of Uses as follows:</w:t>
      </w:r>
    </w:p>
    <w:p w14:paraId="28C997B3" w14:textId="77777777" w:rsidR="004B5C12" w:rsidRPr="0049244A" w:rsidRDefault="004B5C12" w:rsidP="004B5C12">
      <w:pPr>
        <w:rPr>
          <w:sz w:val="16"/>
          <w:szCs w:val="16"/>
        </w:rPr>
      </w:pPr>
    </w:p>
    <w:p w14:paraId="58CD7356" w14:textId="77777777" w:rsidR="004B5C12" w:rsidRPr="0049244A" w:rsidRDefault="004B5C12" w:rsidP="004B5C12">
      <w:pPr>
        <w:rPr>
          <w:b/>
          <w:i/>
        </w:rPr>
      </w:pPr>
      <w:r w:rsidRPr="0049244A">
        <w:rPr>
          <w:b/>
          <w:i/>
        </w:rPr>
        <w:t xml:space="preserve">Add the new uses below in the Table of Uses in Section 175-53 under Subsection VI. Utility &amp; Transportation Uses at the end after Personal Wireless Services Facility:  </w:t>
      </w:r>
    </w:p>
    <w:p w14:paraId="5CCE84C1" w14:textId="77777777" w:rsidR="004B5C12" w:rsidRPr="0049244A" w:rsidRDefault="004B5C12" w:rsidP="004B5C12">
      <w:pPr>
        <w:rPr>
          <w:b/>
          <w:i/>
        </w:rPr>
      </w:pPr>
    </w:p>
    <w:p w14:paraId="79C7CA22" w14:textId="77777777" w:rsidR="004B5C12" w:rsidRPr="0049244A" w:rsidRDefault="004B5C12" w:rsidP="004B5C12">
      <w:pPr>
        <w:rPr>
          <w:b/>
          <w:i/>
          <w:sz w:val="25"/>
          <w:szCs w:val="25"/>
        </w:rPr>
      </w:pPr>
    </w:p>
    <w:tbl>
      <w:tblPr>
        <w:tblpPr w:leftFromText="180" w:rightFromText="180" w:vertAnchor="page" w:horzAnchor="margin" w:tblpY="3111"/>
        <w:tblW w:w="4953" w:type="pct"/>
        <w:tblLook w:val="00A0" w:firstRow="1" w:lastRow="0" w:firstColumn="1" w:lastColumn="0" w:noHBand="0" w:noVBand="0"/>
      </w:tblPr>
      <w:tblGrid>
        <w:gridCol w:w="3314"/>
        <w:gridCol w:w="723"/>
        <w:gridCol w:w="724"/>
        <w:gridCol w:w="727"/>
        <w:gridCol w:w="737"/>
        <w:gridCol w:w="732"/>
        <w:gridCol w:w="727"/>
        <w:gridCol w:w="729"/>
        <w:gridCol w:w="729"/>
        <w:gridCol w:w="729"/>
        <w:gridCol w:w="727"/>
        <w:gridCol w:w="791"/>
        <w:gridCol w:w="668"/>
        <w:gridCol w:w="781"/>
      </w:tblGrid>
      <w:tr w:rsidR="004B5C12" w:rsidRPr="0049244A" w14:paraId="69A92697" w14:textId="77777777" w:rsidTr="009447B8">
        <w:trPr>
          <w:trHeight w:val="525"/>
          <w:tblHeader/>
        </w:trPr>
        <w:tc>
          <w:tcPr>
            <w:tcW w:w="1291" w:type="pct"/>
            <w:tcBorders>
              <w:bottom w:val="nil"/>
              <w:right w:val="double" w:sz="4" w:space="0" w:color="auto"/>
            </w:tcBorders>
          </w:tcPr>
          <w:p w14:paraId="00A27B62" w14:textId="77777777" w:rsidR="004B5C12" w:rsidRPr="0049244A" w:rsidRDefault="004B5C12" w:rsidP="009447B8">
            <w:pPr>
              <w:jc w:val="center"/>
              <w:rPr>
                <w:b/>
                <w:u w:val="single"/>
              </w:rPr>
            </w:pPr>
          </w:p>
          <w:p w14:paraId="746409FB" w14:textId="77777777" w:rsidR="004B5C12" w:rsidRPr="0049244A" w:rsidRDefault="004B5C12" w:rsidP="009447B8">
            <w:pPr>
              <w:jc w:val="center"/>
              <w:rPr>
                <w:b/>
                <w:u w:val="single"/>
              </w:rPr>
            </w:pPr>
          </w:p>
        </w:tc>
        <w:tc>
          <w:tcPr>
            <w:tcW w:w="1134" w:type="pct"/>
            <w:gridSpan w:val="4"/>
            <w:tcBorders>
              <w:left w:val="double" w:sz="4" w:space="0" w:color="auto"/>
              <w:right w:val="single" w:sz="18" w:space="0" w:color="auto"/>
            </w:tcBorders>
          </w:tcPr>
          <w:p w14:paraId="3CDFE8E8" w14:textId="77777777" w:rsidR="004B5C12" w:rsidRPr="0049244A" w:rsidRDefault="004B5C12" w:rsidP="009447B8">
            <w:pPr>
              <w:jc w:val="center"/>
              <w:rPr>
                <w:b/>
              </w:rPr>
            </w:pPr>
            <w:r w:rsidRPr="0049244A">
              <w:rPr>
                <w:b/>
              </w:rPr>
              <w:t>RESIDENTIAL ZONES</w:t>
            </w:r>
          </w:p>
        </w:tc>
        <w:tc>
          <w:tcPr>
            <w:tcW w:w="1420" w:type="pct"/>
            <w:gridSpan w:val="5"/>
            <w:tcBorders>
              <w:left w:val="single" w:sz="18" w:space="0" w:color="auto"/>
              <w:right w:val="single" w:sz="18" w:space="0" w:color="auto"/>
            </w:tcBorders>
          </w:tcPr>
          <w:p w14:paraId="74F6E1EC" w14:textId="77777777" w:rsidR="004B5C12" w:rsidRPr="0049244A" w:rsidRDefault="004B5C12" w:rsidP="009447B8">
            <w:pPr>
              <w:jc w:val="center"/>
              <w:rPr>
                <w:b/>
              </w:rPr>
            </w:pPr>
            <w:r w:rsidRPr="0049244A">
              <w:rPr>
                <w:b/>
              </w:rPr>
              <w:t>COMMERCIAL CORE ZONES</w:t>
            </w:r>
          </w:p>
        </w:tc>
        <w:tc>
          <w:tcPr>
            <w:tcW w:w="1156" w:type="pct"/>
            <w:gridSpan w:val="4"/>
            <w:tcBorders>
              <w:left w:val="single" w:sz="18" w:space="0" w:color="auto"/>
            </w:tcBorders>
          </w:tcPr>
          <w:p w14:paraId="3E460C2D" w14:textId="77777777" w:rsidR="004B5C12" w:rsidRPr="0049244A" w:rsidRDefault="004B5C12" w:rsidP="009447B8">
            <w:pPr>
              <w:rPr>
                <w:b/>
              </w:rPr>
            </w:pPr>
            <w:r w:rsidRPr="0049244A">
              <w:rPr>
                <w:b/>
              </w:rPr>
              <w:t xml:space="preserve">RESEARCH-INDUSTRY </w:t>
            </w:r>
          </w:p>
          <w:p w14:paraId="204DF47D" w14:textId="77777777" w:rsidR="004B5C12" w:rsidRPr="0049244A" w:rsidRDefault="004B5C12" w:rsidP="009447B8">
            <w:pPr>
              <w:rPr>
                <w:b/>
              </w:rPr>
            </w:pPr>
            <w:r w:rsidRPr="0049244A">
              <w:rPr>
                <w:b/>
              </w:rPr>
              <w:t>ZONES</w:t>
            </w:r>
          </w:p>
        </w:tc>
      </w:tr>
      <w:tr w:rsidR="004B5C12" w:rsidRPr="0049244A" w14:paraId="0DAEA7FD" w14:textId="77777777" w:rsidTr="009447B8">
        <w:trPr>
          <w:cantSplit/>
          <w:trHeight w:val="2185"/>
          <w:tblHeader/>
        </w:trPr>
        <w:tc>
          <w:tcPr>
            <w:tcW w:w="1291" w:type="pct"/>
            <w:tcBorders>
              <w:top w:val="nil"/>
              <w:right w:val="double" w:sz="4" w:space="0" w:color="auto"/>
            </w:tcBorders>
          </w:tcPr>
          <w:p w14:paraId="193A5E20" w14:textId="77777777" w:rsidR="004B5C12" w:rsidRPr="0049244A" w:rsidRDefault="004B5C12" w:rsidP="009447B8">
            <w:pPr>
              <w:jc w:val="center"/>
              <w:rPr>
                <w:position w:val="-100"/>
              </w:rPr>
            </w:pPr>
            <w:r w:rsidRPr="0049244A">
              <w:rPr>
                <w:b/>
                <w:position w:val="-100"/>
              </w:rPr>
              <w:t>CATEGORY OF USES</w:t>
            </w:r>
          </w:p>
        </w:tc>
        <w:tc>
          <w:tcPr>
            <w:tcW w:w="282" w:type="pct"/>
            <w:tcBorders>
              <w:left w:val="double" w:sz="4" w:space="0" w:color="auto"/>
            </w:tcBorders>
            <w:textDirection w:val="btLr"/>
          </w:tcPr>
          <w:p w14:paraId="6F39C159" w14:textId="77777777" w:rsidR="004B5C12" w:rsidRPr="00423C13" w:rsidRDefault="004B5C12" w:rsidP="009447B8">
            <w:pPr>
              <w:ind w:left="113" w:right="113"/>
              <w:rPr>
                <w:rFonts w:asciiTheme="minorHAnsi" w:hAnsiTheme="minorHAnsi" w:cstheme="minorHAnsi"/>
                <w:b/>
                <w:sz w:val="22"/>
                <w:szCs w:val="22"/>
              </w:rPr>
            </w:pPr>
            <w:r w:rsidRPr="00423C13">
              <w:rPr>
                <w:rFonts w:asciiTheme="minorHAnsi" w:hAnsiTheme="minorHAnsi" w:cstheme="minorHAnsi"/>
                <w:b/>
                <w:sz w:val="22"/>
                <w:szCs w:val="22"/>
              </w:rPr>
              <w:t>Rural (R)</w:t>
            </w:r>
          </w:p>
        </w:tc>
        <w:tc>
          <w:tcPr>
            <w:tcW w:w="282" w:type="pct"/>
            <w:textDirection w:val="btLr"/>
          </w:tcPr>
          <w:p w14:paraId="15BB575D" w14:textId="77777777" w:rsidR="004B5C12" w:rsidRPr="00423C13" w:rsidRDefault="004B5C12" w:rsidP="009447B8">
            <w:pPr>
              <w:ind w:left="113" w:right="113"/>
              <w:rPr>
                <w:rFonts w:asciiTheme="minorHAnsi" w:hAnsiTheme="minorHAnsi" w:cstheme="minorHAnsi"/>
                <w:b/>
                <w:sz w:val="22"/>
                <w:szCs w:val="22"/>
              </w:rPr>
            </w:pPr>
            <w:r w:rsidRPr="00423C13">
              <w:rPr>
                <w:rFonts w:asciiTheme="minorHAnsi" w:hAnsiTheme="minorHAnsi" w:cstheme="minorHAnsi"/>
                <w:b/>
                <w:sz w:val="22"/>
                <w:szCs w:val="22"/>
              </w:rPr>
              <w:t>Residence A (RA)</w:t>
            </w:r>
          </w:p>
        </w:tc>
        <w:tc>
          <w:tcPr>
            <w:tcW w:w="283" w:type="pct"/>
            <w:textDirection w:val="btLr"/>
          </w:tcPr>
          <w:p w14:paraId="4F135124" w14:textId="77777777" w:rsidR="004B5C12" w:rsidRPr="00423C13" w:rsidRDefault="004B5C12" w:rsidP="009447B8">
            <w:pPr>
              <w:ind w:left="113" w:right="113"/>
              <w:rPr>
                <w:rFonts w:asciiTheme="minorHAnsi" w:hAnsiTheme="minorHAnsi" w:cstheme="minorHAnsi"/>
                <w:b/>
                <w:sz w:val="22"/>
                <w:szCs w:val="22"/>
              </w:rPr>
            </w:pPr>
            <w:r w:rsidRPr="00423C13">
              <w:rPr>
                <w:rFonts w:asciiTheme="minorHAnsi" w:hAnsiTheme="minorHAnsi" w:cstheme="minorHAnsi"/>
                <w:b/>
                <w:sz w:val="22"/>
                <w:szCs w:val="22"/>
              </w:rPr>
              <w:t>Residence B (RB)</w:t>
            </w:r>
          </w:p>
        </w:tc>
        <w:tc>
          <w:tcPr>
            <w:tcW w:w="287" w:type="pct"/>
            <w:tcBorders>
              <w:right w:val="single" w:sz="18" w:space="0" w:color="auto"/>
            </w:tcBorders>
            <w:textDirection w:val="btLr"/>
          </w:tcPr>
          <w:p w14:paraId="331CC16C" w14:textId="77777777" w:rsidR="004B5C12" w:rsidRPr="00423C13" w:rsidRDefault="004B5C12" w:rsidP="009447B8">
            <w:pPr>
              <w:ind w:left="113" w:right="113"/>
              <w:rPr>
                <w:rFonts w:asciiTheme="minorHAnsi" w:hAnsiTheme="minorHAnsi" w:cstheme="minorHAnsi"/>
                <w:b/>
                <w:sz w:val="22"/>
                <w:szCs w:val="22"/>
              </w:rPr>
            </w:pPr>
            <w:r w:rsidRPr="00423C13">
              <w:rPr>
                <w:rFonts w:asciiTheme="minorHAnsi" w:hAnsiTheme="minorHAnsi" w:cstheme="minorHAnsi"/>
                <w:b/>
                <w:sz w:val="22"/>
                <w:szCs w:val="22"/>
              </w:rPr>
              <w:t>Residence C (RC)</w:t>
            </w:r>
          </w:p>
        </w:tc>
        <w:tc>
          <w:tcPr>
            <w:tcW w:w="285" w:type="pct"/>
            <w:tcBorders>
              <w:left w:val="single" w:sz="18" w:space="0" w:color="auto"/>
            </w:tcBorders>
            <w:textDirection w:val="btLr"/>
          </w:tcPr>
          <w:p w14:paraId="713522EC" w14:textId="77777777" w:rsidR="004B5C12" w:rsidRPr="00423C13" w:rsidRDefault="004B5C12" w:rsidP="009447B8">
            <w:pPr>
              <w:ind w:left="113" w:right="113"/>
              <w:rPr>
                <w:rFonts w:asciiTheme="minorHAnsi" w:hAnsiTheme="minorHAnsi" w:cstheme="minorHAnsi"/>
                <w:b/>
                <w:sz w:val="22"/>
                <w:szCs w:val="22"/>
              </w:rPr>
            </w:pPr>
            <w:r w:rsidRPr="00423C13">
              <w:rPr>
                <w:rFonts w:asciiTheme="minorHAnsi" w:hAnsiTheme="minorHAnsi" w:cstheme="minorHAnsi"/>
                <w:b/>
                <w:sz w:val="22"/>
                <w:szCs w:val="22"/>
              </w:rPr>
              <w:t>Central Business (CB)</w:t>
            </w:r>
          </w:p>
        </w:tc>
        <w:tc>
          <w:tcPr>
            <w:tcW w:w="283" w:type="pct"/>
            <w:textDirection w:val="btLr"/>
          </w:tcPr>
          <w:p w14:paraId="1E89BE02" w14:textId="77777777" w:rsidR="004B5C12" w:rsidRPr="00423C13" w:rsidRDefault="004B5C12" w:rsidP="009447B8">
            <w:pPr>
              <w:ind w:left="113" w:right="113"/>
              <w:rPr>
                <w:rFonts w:asciiTheme="minorHAnsi" w:hAnsiTheme="minorHAnsi" w:cstheme="minorHAnsi"/>
                <w:b/>
                <w:sz w:val="22"/>
                <w:szCs w:val="22"/>
              </w:rPr>
            </w:pPr>
            <w:r w:rsidRPr="00423C13">
              <w:rPr>
                <w:rFonts w:asciiTheme="minorHAnsi" w:hAnsiTheme="minorHAnsi" w:cstheme="minorHAnsi"/>
                <w:b/>
                <w:sz w:val="22"/>
                <w:szCs w:val="22"/>
              </w:rPr>
              <w:t>Professional Office (PO)</w:t>
            </w:r>
          </w:p>
        </w:tc>
        <w:tc>
          <w:tcPr>
            <w:tcW w:w="284" w:type="pct"/>
            <w:textDirection w:val="btLr"/>
          </w:tcPr>
          <w:p w14:paraId="254B1963" w14:textId="77777777" w:rsidR="004B5C12" w:rsidRPr="00423C13" w:rsidRDefault="004B5C12" w:rsidP="009447B8">
            <w:pPr>
              <w:ind w:left="113" w:right="113"/>
              <w:rPr>
                <w:rFonts w:asciiTheme="minorHAnsi" w:hAnsiTheme="minorHAnsi" w:cstheme="minorHAnsi"/>
                <w:b/>
                <w:sz w:val="22"/>
                <w:szCs w:val="22"/>
              </w:rPr>
            </w:pPr>
            <w:r w:rsidRPr="00423C13">
              <w:rPr>
                <w:rFonts w:asciiTheme="minorHAnsi" w:hAnsiTheme="minorHAnsi" w:cstheme="minorHAnsi"/>
                <w:b/>
                <w:sz w:val="22"/>
                <w:szCs w:val="22"/>
              </w:rPr>
              <w:t>Church Hill (CH)</w:t>
            </w:r>
          </w:p>
        </w:tc>
        <w:tc>
          <w:tcPr>
            <w:tcW w:w="284" w:type="pct"/>
            <w:textDirection w:val="btLr"/>
          </w:tcPr>
          <w:p w14:paraId="4D19A974" w14:textId="77777777" w:rsidR="004B5C12" w:rsidRPr="00423C13" w:rsidRDefault="004B5C12" w:rsidP="009447B8">
            <w:pPr>
              <w:ind w:left="113" w:right="113"/>
              <w:rPr>
                <w:rFonts w:asciiTheme="minorHAnsi" w:hAnsiTheme="minorHAnsi" w:cstheme="minorHAnsi"/>
                <w:b/>
                <w:sz w:val="22"/>
                <w:szCs w:val="22"/>
              </w:rPr>
            </w:pPr>
            <w:r w:rsidRPr="00423C13">
              <w:rPr>
                <w:rFonts w:asciiTheme="minorHAnsi" w:hAnsiTheme="minorHAnsi" w:cstheme="minorHAnsi"/>
                <w:b/>
                <w:sz w:val="22"/>
                <w:szCs w:val="22"/>
              </w:rPr>
              <w:t>Courthouse (C)</w:t>
            </w:r>
          </w:p>
        </w:tc>
        <w:tc>
          <w:tcPr>
            <w:tcW w:w="284" w:type="pct"/>
            <w:tcBorders>
              <w:right w:val="single" w:sz="18" w:space="0" w:color="auto"/>
            </w:tcBorders>
            <w:textDirection w:val="btLr"/>
          </w:tcPr>
          <w:p w14:paraId="6C86B3B6" w14:textId="631F9311" w:rsidR="004B5C12" w:rsidRPr="00423C13" w:rsidRDefault="004B5C12" w:rsidP="009447B8">
            <w:pPr>
              <w:ind w:left="113" w:right="113"/>
              <w:rPr>
                <w:rFonts w:asciiTheme="minorHAnsi" w:hAnsiTheme="minorHAnsi" w:cstheme="minorHAnsi"/>
                <w:b/>
                <w:sz w:val="22"/>
                <w:szCs w:val="22"/>
              </w:rPr>
            </w:pPr>
            <w:r w:rsidRPr="00423C13">
              <w:rPr>
                <w:rFonts w:asciiTheme="minorHAnsi" w:hAnsiTheme="minorHAnsi" w:cstheme="minorHAnsi"/>
                <w:b/>
                <w:sz w:val="22"/>
                <w:szCs w:val="22"/>
              </w:rPr>
              <w:t>Coe</w:t>
            </w:r>
            <w:r w:rsidR="00D63C81">
              <w:rPr>
                <w:rFonts w:asciiTheme="minorHAnsi" w:hAnsiTheme="minorHAnsi" w:cstheme="minorHAnsi"/>
                <w:b/>
                <w:sz w:val="22"/>
                <w:szCs w:val="22"/>
              </w:rPr>
              <w:t xml:space="preserve"> </w:t>
            </w:r>
            <w:r w:rsidRPr="00423C13">
              <w:rPr>
                <w:rFonts w:asciiTheme="minorHAnsi" w:hAnsiTheme="minorHAnsi" w:cstheme="minorHAnsi"/>
                <w:b/>
                <w:sz w:val="22"/>
                <w:szCs w:val="22"/>
              </w:rPr>
              <w:t>s</w:t>
            </w:r>
            <w:r w:rsidR="00D63C81">
              <w:rPr>
                <w:rFonts w:asciiTheme="minorHAnsi" w:hAnsiTheme="minorHAnsi" w:cstheme="minorHAnsi"/>
                <w:b/>
                <w:sz w:val="22"/>
                <w:szCs w:val="22"/>
              </w:rPr>
              <w:t xml:space="preserve"> </w:t>
            </w:r>
            <w:r w:rsidRPr="00423C13">
              <w:rPr>
                <w:rFonts w:asciiTheme="minorHAnsi" w:hAnsiTheme="minorHAnsi" w:cstheme="minorHAnsi"/>
                <w:b/>
                <w:sz w:val="22"/>
                <w:szCs w:val="22"/>
              </w:rPr>
              <w:t>Corner (CC)</w:t>
            </w:r>
          </w:p>
        </w:tc>
        <w:tc>
          <w:tcPr>
            <w:tcW w:w="283" w:type="pct"/>
            <w:tcBorders>
              <w:left w:val="single" w:sz="18" w:space="0" w:color="auto"/>
            </w:tcBorders>
            <w:textDirection w:val="btLr"/>
          </w:tcPr>
          <w:p w14:paraId="06A92E87" w14:textId="77777777" w:rsidR="004B5C12" w:rsidRPr="00423C13" w:rsidRDefault="004B5C12" w:rsidP="009447B8">
            <w:pPr>
              <w:ind w:left="113" w:right="113"/>
              <w:rPr>
                <w:rFonts w:asciiTheme="minorHAnsi" w:hAnsiTheme="minorHAnsi" w:cstheme="minorHAnsi"/>
                <w:b/>
                <w:sz w:val="22"/>
                <w:szCs w:val="22"/>
              </w:rPr>
            </w:pPr>
            <w:r w:rsidRPr="00423C13">
              <w:rPr>
                <w:rFonts w:asciiTheme="minorHAnsi" w:hAnsiTheme="minorHAnsi" w:cstheme="minorHAnsi"/>
                <w:b/>
                <w:sz w:val="22"/>
                <w:szCs w:val="22"/>
              </w:rPr>
              <w:t>Office Research - Route 108 (OR)</w:t>
            </w:r>
          </w:p>
        </w:tc>
        <w:tc>
          <w:tcPr>
            <w:tcW w:w="308" w:type="pct"/>
            <w:textDirection w:val="btLr"/>
          </w:tcPr>
          <w:p w14:paraId="236AA99E" w14:textId="77777777" w:rsidR="004B5C12" w:rsidRPr="00423C13" w:rsidRDefault="004B5C12" w:rsidP="009447B8">
            <w:pPr>
              <w:ind w:left="113" w:right="113"/>
              <w:rPr>
                <w:rFonts w:asciiTheme="minorHAnsi" w:hAnsiTheme="minorHAnsi" w:cstheme="minorHAnsi"/>
                <w:b/>
                <w:sz w:val="22"/>
                <w:szCs w:val="22"/>
              </w:rPr>
            </w:pPr>
            <w:r w:rsidRPr="00423C13">
              <w:rPr>
                <w:rFonts w:asciiTheme="minorHAnsi" w:hAnsiTheme="minorHAnsi" w:cstheme="minorHAnsi"/>
                <w:b/>
                <w:sz w:val="22"/>
                <w:szCs w:val="22"/>
              </w:rPr>
              <w:t>Mixed Use and Office Research (MUDOR)</w:t>
            </w:r>
          </w:p>
        </w:tc>
        <w:tc>
          <w:tcPr>
            <w:tcW w:w="260" w:type="pct"/>
            <w:textDirection w:val="btLr"/>
          </w:tcPr>
          <w:p w14:paraId="4DF9CB32" w14:textId="77777777" w:rsidR="004B5C12" w:rsidRPr="00423C13" w:rsidRDefault="004B5C12" w:rsidP="009447B8">
            <w:pPr>
              <w:ind w:left="113" w:right="113"/>
              <w:rPr>
                <w:rFonts w:asciiTheme="minorHAnsi" w:hAnsiTheme="minorHAnsi" w:cstheme="minorHAnsi"/>
                <w:b/>
                <w:sz w:val="22"/>
                <w:szCs w:val="22"/>
              </w:rPr>
            </w:pPr>
            <w:r w:rsidRPr="00423C13">
              <w:rPr>
                <w:rFonts w:asciiTheme="minorHAnsi" w:hAnsiTheme="minorHAnsi" w:cstheme="minorHAnsi"/>
                <w:b/>
                <w:sz w:val="22"/>
                <w:szCs w:val="22"/>
              </w:rPr>
              <w:t>Office Research Light Industry (ORLI)</w:t>
            </w:r>
          </w:p>
        </w:tc>
        <w:tc>
          <w:tcPr>
            <w:tcW w:w="304" w:type="pct"/>
            <w:textDirection w:val="btLr"/>
          </w:tcPr>
          <w:p w14:paraId="02F50ADE" w14:textId="77777777" w:rsidR="004B5C12" w:rsidRPr="00423C13" w:rsidRDefault="004B5C12" w:rsidP="009447B8">
            <w:pPr>
              <w:ind w:left="113" w:right="113"/>
              <w:rPr>
                <w:rFonts w:asciiTheme="minorHAnsi" w:hAnsiTheme="minorHAnsi" w:cstheme="minorHAnsi"/>
                <w:b/>
                <w:sz w:val="22"/>
                <w:szCs w:val="22"/>
              </w:rPr>
            </w:pPr>
            <w:r w:rsidRPr="00423C13">
              <w:rPr>
                <w:rFonts w:asciiTheme="minorHAnsi" w:hAnsiTheme="minorHAnsi" w:cstheme="minorHAnsi"/>
                <w:b/>
                <w:sz w:val="22"/>
                <w:szCs w:val="22"/>
              </w:rPr>
              <w:t>Durham Business Park (DBP)</w:t>
            </w:r>
          </w:p>
        </w:tc>
      </w:tr>
      <w:tr w:rsidR="004B5C12" w:rsidRPr="0049244A" w14:paraId="4389D8A9" w14:textId="77777777" w:rsidTr="009447B8">
        <w:trPr>
          <w:trHeight w:val="425"/>
        </w:trPr>
        <w:tc>
          <w:tcPr>
            <w:tcW w:w="1291" w:type="pct"/>
            <w:tcBorders>
              <w:right w:val="double" w:sz="4" w:space="0" w:color="auto"/>
            </w:tcBorders>
            <w:vAlign w:val="center"/>
          </w:tcPr>
          <w:p w14:paraId="006F5761" w14:textId="77777777" w:rsidR="004B5C12" w:rsidRPr="0049244A" w:rsidRDefault="004B5C12" w:rsidP="009447B8">
            <w:pPr>
              <w:keepLines/>
              <w:suppressLineNumbers/>
              <w:suppressAutoHyphens/>
              <w:rPr>
                <w:rFonts w:asciiTheme="minorHAnsi" w:hAnsiTheme="minorHAnsi"/>
                <w:b/>
                <w:bCs/>
              </w:rPr>
            </w:pPr>
            <w:r w:rsidRPr="0049244A">
              <w:rPr>
                <w:rFonts w:asciiTheme="minorHAnsi" w:hAnsiTheme="minorHAnsi"/>
                <w:b/>
                <w:bCs/>
              </w:rPr>
              <w:t>VI. UTILITY &amp; TRANSPORTATION USES</w:t>
            </w:r>
          </w:p>
        </w:tc>
        <w:tc>
          <w:tcPr>
            <w:tcW w:w="282" w:type="pct"/>
            <w:tcBorders>
              <w:left w:val="double" w:sz="4" w:space="0" w:color="auto"/>
            </w:tcBorders>
            <w:vAlign w:val="center"/>
          </w:tcPr>
          <w:p w14:paraId="4A77CCC6" w14:textId="77777777" w:rsidR="004B5C12" w:rsidRPr="0049244A" w:rsidRDefault="004B5C12" w:rsidP="009447B8">
            <w:pPr>
              <w:jc w:val="center"/>
            </w:pPr>
          </w:p>
        </w:tc>
        <w:tc>
          <w:tcPr>
            <w:tcW w:w="282" w:type="pct"/>
            <w:vAlign w:val="center"/>
          </w:tcPr>
          <w:p w14:paraId="70F7AC08" w14:textId="77777777" w:rsidR="004B5C12" w:rsidRPr="0049244A" w:rsidRDefault="004B5C12" w:rsidP="009447B8">
            <w:pPr>
              <w:jc w:val="center"/>
            </w:pPr>
          </w:p>
        </w:tc>
        <w:tc>
          <w:tcPr>
            <w:tcW w:w="283" w:type="pct"/>
            <w:vAlign w:val="center"/>
          </w:tcPr>
          <w:p w14:paraId="688FADFC" w14:textId="77777777" w:rsidR="004B5C12" w:rsidRPr="0049244A" w:rsidRDefault="004B5C12" w:rsidP="009447B8">
            <w:pPr>
              <w:jc w:val="center"/>
            </w:pPr>
          </w:p>
        </w:tc>
        <w:tc>
          <w:tcPr>
            <w:tcW w:w="287" w:type="pct"/>
            <w:tcBorders>
              <w:right w:val="single" w:sz="18" w:space="0" w:color="auto"/>
            </w:tcBorders>
            <w:vAlign w:val="center"/>
          </w:tcPr>
          <w:p w14:paraId="6B1278C8" w14:textId="77777777" w:rsidR="004B5C12" w:rsidRPr="0049244A" w:rsidRDefault="004B5C12" w:rsidP="009447B8">
            <w:pPr>
              <w:jc w:val="center"/>
            </w:pPr>
          </w:p>
        </w:tc>
        <w:tc>
          <w:tcPr>
            <w:tcW w:w="285" w:type="pct"/>
            <w:tcBorders>
              <w:left w:val="single" w:sz="18" w:space="0" w:color="auto"/>
            </w:tcBorders>
            <w:vAlign w:val="center"/>
          </w:tcPr>
          <w:p w14:paraId="3EB08180" w14:textId="77777777" w:rsidR="004B5C12" w:rsidRPr="0049244A" w:rsidRDefault="004B5C12" w:rsidP="009447B8">
            <w:pPr>
              <w:jc w:val="center"/>
            </w:pPr>
          </w:p>
        </w:tc>
        <w:tc>
          <w:tcPr>
            <w:tcW w:w="283" w:type="pct"/>
            <w:vAlign w:val="center"/>
          </w:tcPr>
          <w:p w14:paraId="1464D442" w14:textId="77777777" w:rsidR="004B5C12" w:rsidRPr="0049244A" w:rsidRDefault="004B5C12" w:rsidP="009447B8">
            <w:pPr>
              <w:jc w:val="center"/>
            </w:pPr>
          </w:p>
        </w:tc>
        <w:tc>
          <w:tcPr>
            <w:tcW w:w="284" w:type="pct"/>
            <w:vAlign w:val="center"/>
          </w:tcPr>
          <w:p w14:paraId="7B2FA9C3" w14:textId="77777777" w:rsidR="004B5C12" w:rsidRPr="0049244A" w:rsidRDefault="004B5C12" w:rsidP="009447B8">
            <w:pPr>
              <w:jc w:val="center"/>
            </w:pPr>
          </w:p>
        </w:tc>
        <w:tc>
          <w:tcPr>
            <w:tcW w:w="284" w:type="pct"/>
            <w:vAlign w:val="center"/>
          </w:tcPr>
          <w:p w14:paraId="6E908A1C" w14:textId="77777777" w:rsidR="004B5C12" w:rsidRPr="0049244A" w:rsidRDefault="004B5C12" w:rsidP="009447B8">
            <w:pPr>
              <w:jc w:val="center"/>
            </w:pPr>
          </w:p>
        </w:tc>
        <w:tc>
          <w:tcPr>
            <w:tcW w:w="284" w:type="pct"/>
            <w:tcBorders>
              <w:right w:val="single" w:sz="18" w:space="0" w:color="auto"/>
            </w:tcBorders>
            <w:vAlign w:val="center"/>
          </w:tcPr>
          <w:p w14:paraId="3A0F4025" w14:textId="77777777" w:rsidR="004B5C12" w:rsidRPr="0049244A" w:rsidRDefault="004B5C12" w:rsidP="009447B8">
            <w:pPr>
              <w:jc w:val="center"/>
            </w:pPr>
          </w:p>
        </w:tc>
        <w:tc>
          <w:tcPr>
            <w:tcW w:w="283" w:type="pct"/>
            <w:tcBorders>
              <w:left w:val="single" w:sz="18" w:space="0" w:color="auto"/>
            </w:tcBorders>
            <w:vAlign w:val="center"/>
          </w:tcPr>
          <w:p w14:paraId="761C9B89" w14:textId="77777777" w:rsidR="004B5C12" w:rsidRPr="0049244A" w:rsidRDefault="004B5C12" w:rsidP="009447B8">
            <w:pPr>
              <w:jc w:val="center"/>
            </w:pPr>
          </w:p>
        </w:tc>
        <w:tc>
          <w:tcPr>
            <w:tcW w:w="308" w:type="pct"/>
            <w:vAlign w:val="center"/>
          </w:tcPr>
          <w:p w14:paraId="4287DDA4" w14:textId="77777777" w:rsidR="004B5C12" w:rsidRPr="0049244A" w:rsidRDefault="004B5C12" w:rsidP="009447B8">
            <w:pPr>
              <w:jc w:val="center"/>
            </w:pPr>
          </w:p>
        </w:tc>
        <w:tc>
          <w:tcPr>
            <w:tcW w:w="260" w:type="pct"/>
            <w:vAlign w:val="center"/>
          </w:tcPr>
          <w:p w14:paraId="714EB49E" w14:textId="77777777" w:rsidR="004B5C12" w:rsidRPr="0049244A" w:rsidRDefault="004B5C12" w:rsidP="009447B8">
            <w:pPr>
              <w:jc w:val="center"/>
            </w:pPr>
          </w:p>
        </w:tc>
        <w:tc>
          <w:tcPr>
            <w:tcW w:w="304" w:type="pct"/>
            <w:vAlign w:val="center"/>
          </w:tcPr>
          <w:p w14:paraId="7373FBA5" w14:textId="77777777" w:rsidR="004B5C12" w:rsidRPr="0049244A" w:rsidRDefault="004B5C12" w:rsidP="009447B8">
            <w:pPr>
              <w:jc w:val="center"/>
            </w:pPr>
          </w:p>
        </w:tc>
      </w:tr>
      <w:tr w:rsidR="004B5C12" w:rsidRPr="0049244A" w14:paraId="705194EA" w14:textId="77777777" w:rsidTr="009447B8">
        <w:trPr>
          <w:trHeight w:val="425"/>
        </w:trPr>
        <w:tc>
          <w:tcPr>
            <w:tcW w:w="1291" w:type="pct"/>
            <w:tcBorders>
              <w:right w:val="double" w:sz="4" w:space="0" w:color="auto"/>
            </w:tcBorders>
          </w:tcPr>
          <w:p w14:paraId="1A499EA4" w14:textId="77777777" w:rsidR="004B5C12" w:rsidRPr="001B7F57" w:rsidRDefault="004B5C12" w:rsidP="009447B8">
            <w:pPr>
              <w:pStyle w:val="Heading5"/>
              <w:suppressLineNumbers/>
              <w:tabs>
                <w:tab w:val="left" w:pos="540"/>
              </w:tabs>
              <w:suppressAutoHyphens/>
              <w:rPr>
                <w:rFonts w:asciiTheme="minorHAnsi" w:hAnsiTheme="minorHAnsi"/>
                <w:b/>
                <w:bCs/>
                <w:iCs/>
                <w:color w:val="4472C4" w:themeColor="accent1"/>
                <w:sz w:val="22"/>
                <w:szCs w:val="22"/>
                <w:u w:val="single"/>
              </w:rPr>
            </w:pPr>
            <w:r w:rsidRPr="001B7F57">
              <w:rPr>
                <w:rFonts w:asciiTheme="minorHAnsi" w:hAnsiTheme="minorHAnsi"/>
                <w:iCs/>
                <w:color w:val="4472C4" w:themeColor="accent1"/>
                <w:sz w:val="22"/>
                <w:szCs w:val="22"/>
                <w:u w:val="single"/>
              </w:rPr>
              <w:t>Single family or duplex residential solar energy system - accessory use (See Article XX)</w:t>
            </w:r>
          </w:p>
        </w:tc>
        <w:tc>
          <w:tcPr>
            <w:tcW w:w="282" w:type="pct"/>
            <w:tcBorders>
              <w:left w:val="double" w:sz="4" w:space="0" w:color="auto"/>
            </w:tcBorders>
            <w:vAlign w:val="center"/>
          </w:tcPr>
          <w:p w14:paraId="1557CBDA" w14:textId="77777777" w:rsidR="004B5C12" w:rsidRPr="001B7F57" w:rsidRDefault="004B5C12" w:rsidP="009447B8">
            <w:pPr>
              <w:rPr>
                <w:b/>
                <w:color w:val="4472C4" w:themeColor="accent1"/>
                <w:u w:val="single"/>
              </w:rPr>
            </w:pPr>
          </w:p>
          <w:p w14:paraId="64342E9A" w14:textId="77777777" w:rsidR="004B5C12" w:rsidRPr="001B7F57" w:rsidRDefault="004B5C12" w:rsidP="009447B8">
            <w:pPr>
              <w:rPr>
                <w:b/>
                <w:color w:val="4472C4" w:themeColor="accent1"/>
                <w:u w:val="single"/>
              </w:rPr>
            </w:pPr>
            <w:r w:rsidRPr="001B7F57">
              <w:rPr>
                <w:b/>
                <w:color w:val="4472C4" w:themeColor="accent1"/>
                <w:u w:val="single"/>
              </w:rPr>
              <w:t>P</w:t>
            </w:r>
          </w:p>
        </w:tc>
        <w:tc>
          <w:tcPr>
            <w:tcW w:w="282" w:type="pct"/>
            <w:vAlign w:val="center"/>
          </w:tcPr>
          <w:p w14:paraId="40ECC3EE" w14:textId="77777777" w:rsidR="004B5C12" w:rsidRPr="001B7F57" w:rsidRDefault="004B5C12" w:rsidP="009447B8">
            <w:pPr>
              <w:jc w:val="center"/>
              <w:rPr>
                <w:b/>
                <w:color w:val="4472C4" w:themeColor="accent1"/>
                <w:u w:val="single"/>
              </w:rPr>
            </w:pPr>
          </w:p>
          <w:p w14:paraId="56255036"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vAlign w:val="center"/>
          </w:tcPr>
          <w:p w14:paraId="7082FDC8" w14:textId="77777777" w:rsidR="004B5C12" w:rsidRPr="001B7F57" w:rsidRDefault="004B5C12" w:rsidP="009447B8">
            <w:pPr>
              <w:jc w:val="center"/>
              <w:rPr>
                <w:b/>
                <w:color w:val="4472C4" w:themeColor="accent1"/>
                <w:u w:val="single"/>
              </w:rPr>
            </w:pPr>
          </w:p>
          <w:p w14:paraId="6C4EDD83"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7" w:type="pct"/>
            <w:tcBorders>
              <w:right w:val="single" w:sz="18" w:space="0" w:color="auto"/>
            </w:tcBorders>
            <w:vAlign w:val="center"/>
          </w:tcPr>
          <w:p w14:paraId="2894CE2C" w14:textId="77777777" w:rsidR="004B5C12" w:rsidRPr="001B7F57" w:rsidRDefault="004B5C12" w:rsidP="009447B8">
            <w:pPr>
              <w:jc w:val="center"/>
              <w:rPr>
                <w:b/>
                <w:color w:val="4472C4" w:themeColor="accent1"/>
                <w:u w:val="single"/>
              </w:rPr>
            </w:pPr>
          </w:p>
          <w:p w14:paraId="6FB630E5"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5" w:type="pct"/>
            <w:tcBorders>
              <w:left w:val="single" w:sz="18" w:space="0" w:color="auto"/>
            </w:tcBorders>
            <w:vAlign w:val="center"/>
          </w:tcPr>
          <w:p w14:paraId="3B7EA2E6" w14:textId="77777777" w:rsidR="004B5C12" w:rsidRPr="001B7F57" w:rsidRDefault="004B5C12" w:rsidP="009447B8">
            <w:pPr>
              <w:jc w:val="center"/>
              <w:rPr>
                <w:b/>
                <w:color w:val="4472C4" w:themeColor="accent1"/>
                <w:u w:val="single"/>
              </w:rPr>
            </w:pPr>
          </w:p>
          <w:p w14:paraId="043C2601"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vAlign w:val="center"/>
          </w:tcPr>
          <w:p w14:paraId="128A9CAE" w14:textId="77777777" w:rsidR="004B5C12" w:rsidRPr="001B7F57" w:rsidRDefault="004B5C12" w:rsidP="009447B8">
            <w:pPr>
              <w:jc w:val="center"/>
              <w:rPr>
                <w:b/>
                <w:color w:val="4472C4" w:themeColor="accent1"/>
                <w:u w:val="single"/>
              </w:rPr>
            </w:pPr>
          </w:p>
          <w:p w14:paraId="6AA9680B"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00096DFA" w14:textId="77777777" w:rsidR="004B5C12" w:rsidRPr="001B7F57" w:rsidRDefault="004B5C12" w:rsidP="009447B8">
            <w:pPr>
              <w:jc w:val="center"/>
              <w:rPr>
                <w:b/>
                <w:color w:val="4472C4" w:themeColor="accent1"/>
                <w:u w:val="single"/>
              </w:rPr>
            </w:pPr>
          </w:p>
          <w:p w14:paraId="04CCCC97"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3FD17C3F" w14:textId="77777777" w:rsidR="004B5C12" w:rsidRPr="001B7F57" w:rsidRDefault="004B5C12" w:rsidP="009447B8">
            <w:pPr>
              <w:jc w:val="center"/>
              <w:rPr>
                <w:b/>
                <w:color w:val="4472C4" w:themeColor="accent1"/>
                <w:u w:val="single"/>
              </w:rPr>
            </w:pPr>
          </w:p>
          <w:p w14:paraId="629857A4"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tcBorders>
              <w:right w:val="single" w:sz="18" w:space="0" w:color="auto"/>
            </w:tcBorders>
            <w:vAlign w:val="center"/>
          </w:tcPr>
          <w:p w14:paraId="096725A5" w14:textId="77777777" w:rsidR="004B5C12" w:rsidRPr="001B7F57" w:rsidRDefault="004B5C12" w:rsidP="009447B8">
            <w:pPr>
              <w:jc w:val="center"/>
              <w:rPr>
                <w:b/>
                <w:color w:val="4472C4" w:themeColor="accent1"/>
                <w:u w:val="single"/>
              </w:rPr>
            </w:pPr>
          </w:p>
          <w:p w14:paraId="551BD01B"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tcBorders>
              <w:left w:val="single" w:sz="18" w:space="0" w:color="auto"/>
            </w:tcBorders>
            <w:vAlign w:val="center"/>
          </w:tcPr>
          <w:p w14:paraId="270B793F" w14:textId="77777777" w:rsidR="004B5C12" w:rsidRPr="001B7F57" w:rsidRDefault="004B5C12" w:rsidP="009447B8">
            <w:pPr>
              <w:jc w:val="center"/>
              <w:rPr>
                <w:b/>
                <w:color w:val="4472C4" w:themeColor="accent1"/>
                <w:u w:val="single"/>
              </w:rPr>
            </w:pPr>
          </w:p>
          <w:p w14:paraId="7E372CC4"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8" w:type="pct"/>
            <w:vAlign w:val="center"/>
          </w:tcPr>
          <w:p w14:paraId="25BD54F7" w14:textId="77777777" w:rsidR="004B5C12" w:rsidRPr="001B7F57" w:rsidRDefault="004B5C12" w:rsidP="009447B8">
            <w:pPr>
              <w:jc w:val="center"/>
              <w:rPr>
                <w:b/>
                <w:color w:val="4472C4" w:themeColor="accent1"/>
                <w:u w:val="single"/>
              </w:rPr>
            </w:pPr>
          </w:p>
          <w:p w14:paraId="6B7141A6"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60" w:type="pct"/>
            <w:vAlign w:val="center"/>
          </w:tcPr>
          <w:p w14:paraId="72F066CD" w14:textId="77777777" w:rsidR="004B5C12" w:rsidRPr="001B7F57" w:rsidRDefault="004B5C12" w:rsidP="009447B8">
            <w:pPr>
              <w:jc w:val="center"/>
              <w:rPr>
                <w:b/>
                <w:color w:val="4472C4" w:themeColor="accent1"/>
                <w:u w:val="single"/>
              </w:rPr>
            </w:pPr>
          </w:p>
          <w:p w14:paraId="0BA4BD16" w14:textId="77777777" w:rsidR="004B5C12" w:rsidRPr="001B7F57" w:rsidRDefault="004B5C12" w:rsidP="009447B8">
            <w:pPr>
              <w:jc w:val="center"/>
              <w:rPr>
                <w:color w:val="4472C4" w:themeColor="accent1"/>
                <w:u w:val="single"/>
              </w:rPr>
            </w:pPr>
            <w:r w:rsidRPr="001B7F57">
              <w:rPr>
                <w:b/>
                <w:color w:val="4472C4" w:themeColor="accent1"/>
                <w:u w:val="single"/>
              </w:rPr>
              <w:t>P</w:t>
            </w:r>
          </w:p>
        </w:tc>
        <w:tc>
          <w:tcPr>
            <w:tcW w:w="304" w:type="pct"/>
            <w:vAlign w:val="center"/>
          </w:tcPr>
          <w:p w14:paraId="49F6BD26" w14:textId="77777777" w:rsidR="004B5C12" w:rsidRPr="001B7F57" w:rsidRDefault="004B5C12" w:rsidP="009447B8">
            <w:pPr>
              <w:jc w:val="center"/>
              <w:rPr>
                <w:b/>
                <w:color w:val="4472C4" w:themeColor="accent1"/>
                <w:u w:val="single"/>
              </w:rPr>
            </w:pPr>
          </w:p>
          <w:p w14:paraId="19C33193" w14:textId="77777777" w:rsidR="004B5C12" w:rsidRPr="001B7F57" w:rsidRDefault="004B5C12" w:rsidP="009447B8">
            <w:pPr>
              <w:jc w:val="center"/>
              <w:rPr>
                <w:b/>
                <w:color w:val="4472C4" w:themeColor="accent1"/>
                <w:u w:val="single"/>
              </w:rPr>
            </w:pPr>
            <w:r w:rsidRPr="001B7F57">
              <w:rPr>
                <w:b/>
                <w:color w:val="4472C4" w:themeColor="accent1"/>
                <w:u w:val="single"/>
              </w:rPr>
              <w:t>P</w:t>
            </w:r>
          </w:p>
        </w:tc>
      </w:tr>
      <w:tr w:rsidR="004B5C12" w:rsidRPr="0049244A" w14:paraId="33A246B2" w14:textId="77777777" w:rsidTr="009447B8">
        <w:trPr>
          <w:trHeight w:val="425"/>
        </w:trPr>
        <w:tc>
          <w:tcPr>
            <w:tcW w:w="1291" w:type="pct"/>
            <w:tcBorders>
              <w:right w:val="double" w:sz="4" w:space="0" w:color="auto"/>
            </w:tcBorders>
          </w:tcPr>
          <w:p w14:paraId="04CABDE9" w14:textId="77777777" w:rsidR="004B5C12" w:rsidRPr="001B7F57" w:rsidRDefault="004B5C12" w:rsidP="009447B8">
            <w:pPr>
              <w:rPr>
                <w:rFonts w:asciiTheme="minorHAnsi" w:hAnsiTheme="minorHAnsi"/>
                <w:color w:val="4472C4" w:themeColor="accent1"/>
                <w:sz w:val="16"/>
                <w:szCs w:val="16"/>
                <w:u w:val="single"/>
              </w:rPr>
            </w:pPr>
          </w:p>
          <w:p w14:paraId="70E45282" w14:textId="77777777" w:rsidR="004B5C12" w:rsidRPr="001B7F57" w:rsidRDefault="004B5C12" w:rsidP="009447B8">
            <w:pPr>
              <w:rPr>
                <w:rFonts w:asciiTheme="minorHAnsi" w:hAnsiTheme="minorHAnsi"/>
                <w:color w:val="4472C4" w:themeColor="accent1"/>
                <w:u w:val="single"/>
              </w:rPr>
            </w:pPr>
            <w:r w:rsidRPr="001B7F57">
              <w:rPr>
                <w:rFonts w:asciiTheme="minorHAnsi" w:hAnsiTheme="minorHAnsi"/>
                <w:color w:val="4472C4" w:themeColor="accent1"/>
                <w:u w:val="single"/>
              </w:rPr>
              <w:t>Multi-unit residential or nonresidential solar energy system - accessory use (See Article XX)</w:t>
            </w:r>
          </w:p>
        </w:tc>
        <w:tc>
          <w:tcPr>
            <w:tcW w:w="282" w:type="pct"/>
            <w:tcBorders>
              <w:left w:val="double" w:sz="4" w:space="0" w:color="auto"/>
            </w:tcBorders>
            <w:vAlign w:val="center"/>
          </w:tcPr>
          <w:p w14:paraId="023E2E48" w14:textId="77777777" w:rsidR="004B5C12" w:rsidRPr="001B7F57" w:rsidRDefault="004B5C12" w:rsidP="009447B8">
            <w:pPr>
              <w:rPr>
                <w:b/>
                <w:color w:val="4472C4" w:themeColor="accent1"/>
                <w:u w:val="single"/>
              </w:rPr>
            </w:pPr>
          </w:p>
        </w:tc>
        <w:tc>
          <w:tcPr>
            <w:tcW w:w="282" w:type="pct"/>
            <w:vAlign w:val="center"/>
          </w:tcPr>
          <w:p w14:paraId="268226BF" w14:textId="77777777" w:rsidR="004B5C12" w:rsidRPr="001B7F57" w:rsidRDefault="004B5C12" w:rsidP="009447B8">
            <w:pPr>
              <w:jc w:val="center"/>
              <w:rPr>
                <w:b/>
                <w:color w:val="4472C4" w:themeColor="accent1"/>
                <w:u w:val="single"/>
              </w:rPr>
            </w:pPr>
          </w:p>
        </w:tc>
        <w:tc>
          <w:tcPr>
            <w:tcW w:w="283" w:type="pct"/>
            <w:vAlign w:val="center"/>
          </w:tcPr>
          <w:p w14:paraId="6A1535C4" w14:textId="77777777" w:rsidR="004B5C12" w:rsidRPr="001B7F57" w:rsidRDefault="004B5C12" w:rsidP="009447B8">
            <w:pPr>
              <w:jc w:val="center"/>
              <w:rPr>
                <w:b/>
                <w:color w:val="4472C4" w:themeColor="accent1"/>
                <w:u w:val="single"/>
              </w:rPr>
            </w:pPr>
          </w:p>
        </w:tc>
        <w:tc>
          <w:tcPr>
            <w:tcW w:w="287" w:type="pct"/>
            <w:tcBorders>
              <w:right w:val="single" w:sz="18" w:space="0" w:color="auto"/>
            </w:tcBorders>
            <w:vAlign w:val="center"/>
          </w:tcPr>
          <w:p w14:paraId="4ABCA2E1" w14:textId="77777777" w:rsidR="004B5C12" w:rsidRPr="001B7F57" w:rsidRDefault="004B5C12" w:rsidP="009447B8">
            <w:pPr>
              <w:jc w:val="center"/>
              <w:rPr>
                <w:b/>
                <w:color w:val="4472C4" w:themeColor="accent1"/>
                <w:u w:val="single"/>
              </w:rPr>
            </w:pPr>
          </w:p>
        </w:tc>
        <w:tc>
          <w:tcPr>
            <w:tcW w:w="285" w:type="pct"/>
            <w:tcBorders>
              <w:left w:val="single" w:sz="18" w:space="0" w:color="auto"/>
            </w:tcBorders>
            <w:vAlign w:val="center"/>
          </w:tcPr>
          <w:p w14:paraId="41C16330" w14:textId="77777777" w:rsidR="004B5C12" w:rsidRPr="001B7F57" w:rsidRDefault="004B5C12" w:rsidP="009447B8">
            <w:pPr>
              <w:jc w:val="center"/>
              <w:rPr>
                <w:b/>
                <w:color w:val="4472C4" w:themeColor="accent1"/>
                <w:u w:val="single"/>
              </w:rPr>
            </w:pPr>
          </w:p>
        </w:tc>
        <w:tc>
          <w:tcPr>
            <w:tcW w:w="283" w:type="pct"/>
            <w:vAlign w:val="center"/>
          </w:tcPr>
          <w:p w14:paraId="3306ECEC" w14:textId="77777777" w:rsidR="004B5C12" w:rsidRPr="001B7F57" w:rsidRDefault="004B5C12" w:rsidP="009447B8">
            <w:pPr>
              <w:jc w:val="center"/>
              <w:rPr>
                <w:b/>
                <w:color w:val="4472C4" w:themeColor="accent1"/>
                <w:u w:val="single"/>
              </w:rPr>
            </w:pPr>
          </w:p>
        </w:tc>
        <w:tc>
          <w:tcPr>
            <w:tcW w:w="284" w:type="pct"/>
            <w:vAlign w:val="center"/>
          </w:tcPr>
          <w:p w14:paraId="2BBBF453" w14:textId="77777777" w:rsidR="004B5C12" w:rsidRPr="001B7F57" w:rsidRDefault="004B5C12" w:rsidP="009447B8">
            <w:pPr>
              <w:jc w:val="center"/>
              <w:rPr>
                <w:b/>
                <w:color w:val="4472C4" w:themeColor="accent1"/>
                <w:u w:val="single"/>
              </w:rPr>
            </w:pPr>
          </w:p>
        </w:tc>
        <w:tc>
          <w:tcPr>
            <w:tcW w:w="284" w:type="pct"/>
            <w:vAlign w:val="center"/>
          </w:tcPr>
          <w:p w14:paraId="6498DEC7" w14:textId="77777777" w:rsidR="004B5C12" w:rsidRPr="001B7F57" w:rsidRDefault="004B5C12" w:rsidP="009447B8">
            <w:pPr>
              <w:jc w:val="center"/>
              <w:rPr>
                <w:b/>
                <w:color w:val="4472C4" w:themeColor="accent1"/>
                <w:u w:val="single"/>
              </w:rPr>
            </w:pPr>
          </w:p>
        </w:tc>
        <w:tc>
          <w:tcPr>
            <w:tcW w:w="284" w:type="pct"/>
            <w:tcBorders>
              <w:right w:val="single" w:sz="18" w:space="0" w:color="auto"/>
            </w:tcBorders>
            <w:vAlign w:val="center"/>
          </w:tcPr>
          <w:p w14:paraId="57A77533" w14:textId="77777777" w:rsidR="004B5C12" w:rsidRPr="001B7F57" w:rsidRDefault="004B5C12" w:rsidP="009447B8">
            <w:pPr>
              <w:jc w:val="center"/>
              <w:rPr>
                <w:b/>
                <w:color w:val="4472C4" w:themeColor="accent1"/>
                <w:u w:val="single"/>
              </w:rPr>
            </w:pPr>
          </w:p>
        </w:tc>
        <w:tc>
          <w:tcPr>
            <w:tcW w:w="283" w:type="pct"/>
            <w:tcBorders>
              <w:left w:val="single" w:sz="18" w:space="0" w:color="auto"/>
            </w:tcBorders>
            <w:vAlign w:val="center"/>
          </w:tcPr>
          <w:p w14:paraId="4E47F780" w14:textId="77777777" w:rsidR="004B5C12" w:rsidRPr="001B7F57" w:rsidRDefault="004B5C12" w:rsidP="009447B8">
            <w:pPr>
              <w:jc w:val="center"/>
              <w:rPr>
                <w:b/>
                <w:color w:val="4472C4" w:themeColor="accent1"/>
                <w:u w:val="single"/>
              </w:rPr>
            </w:pPr>
          </w:p>
        </w:tc>
        <w:tc>
          <w:tcPr>
            <w:tcW w:w="308" w:type="pct"/>
            <w:vAlign w:val="center"/>
          </w:tcPr>
          <w:p w14:paraId="39EEB866" w14:textId="77777777" w:rsidR="004B5C12" w:rsidRPr="001B7F57" w:rsidRDefault="004B5C12" w:rsidP="009447B8">
            <w:pPr>
              <w:jc w:val="center"/>
              <w:rPr>
                <w:b/>
                <w:color w:val="4472C4" w:themeColor="accent1"/>
                <w:u w:val="single"/>
              </w:rPr>
            </w:pPr>
          </w:p>
        </w:tc>
        <w:tc>
          <w:tcPr>
            <w:tcW w:w="260" w:type="pct"/>
            <w:vAlign w:val="center"/>
          </w:tcPr>
          <w:p w14:paraId="16250529" w14:textId="77777777" w:rsidR="004B5C12" w:rsidRPr="001B7F57" w:rsidRDefault="004B5C12" w:rsidP="009447B8">
            <w:pPr>
              <w:jc w:val="center"/>
              <w:rPr>
                <w:b/>
                <w:color w:val="4472C4" w:themeColor="accent1"/>
                <w:u w:val="single"/>
              </w:rPr>
            </w:pPr>
          </w:p>
        </w:tc>
        <w:tc>
          <w:tcPr>
            <w:tcW w:w="304" w:type="pct"/>
            <w:vAlign w:val="center"/>
          </w:tcPr>
          <w:p w14:paraId="2543C326" w14:textId="77777777" w:rsidR="004B5C12" w:rsidRPr="001B7F57" w:rsidRDefault="004B5C12" w:rsidP="009447B8">
            <w:pPr>
              <w:jc w:val="center"/>
              <w:rPr>
                <w:b/>
                <w:color w:val="4472C4" w:themeColor="accent1"/>
                <w:u w:val="single"/>
              </w:rPr>
            </w:pPr>
          </w:p>
        </w:tc>
      </w:tr>
      <w:tr w:rsidR="004B5C12" w:rsidRPr="0049244A" w14:paraId="51811D71" w14:textId="77777777" w:rsidTr="009447B8">
        <w:trPr>
          <w:trHeight w:val="425"/>
        </w:trPr>
        <w:tc>
          <w:tcPr>
            <w:tcW w:w="1291" w:type="pct"/>
            <w:tcBorders>
              <w:right w:val="double" w:sz="4" w:space="0" w:color="auto"/>
            </w:tcBorders>
          </w:tcPr>
          <w:p w14:paraId="737EF5D9" w14:textId="77777777" w:rsidR="004B5C12" w:rsidRPr="001B7F57" w:rsidRDefault="004B5C12" w:rsidP="004B5C12">
            <w:pPr>
              <w:pStyle w:val="ListParagraph"/>
              <w:numPr>
                <w:ilvl w:val="0"/>
                <w:numId w:val="8"/>
              </w:numPr>
              <w:spacing w:after="0" w:line="240" w:lineRule="auto"/>
              <w:ind w:left="360" w:hanging="180"/>
              <w:contextualSpacing w:val="0"/>
              <w:rPr>
                <w:rFonts w:asciiTheme="minorHAnsi" w:hAnsiTheme="minorHAnsi"/>
                <w:color w:val="4472C4" w:themeColor="accent1"/>
                <w:u w:val="single"/>
              </w:rPr>
            </w:pPr>
            <w:r w:rsidRPr="001B7F57">
              <w:rPr>
                <w:rFonts w:asciiTheme="minorHAnsi" w:hAnsiTheme="minorHAnsi"/>
                <w:color w:val="4472C4" w:themeColor="accent1"/>
                <w:u w:val="single"/>
              </w:rPr>
              <w:t>Building-mounted</w:t>
            </w:r>
          </w:p>
        </w:tc>
        <w:tc>
          <w:tcPr>
            <w:tcW w:w="282" w:type="pct"/>
            <w:tcBorders>
              <w:left w:val="double" w:sz="4" w:space="0" w:color="auto"/>
            </w:tcBorders>
            <w:vAlign w:val="center"/>
          </w:tcPr>
          <w:p w14:paraId="68AA8835" w14:textId="77777777" w:rsidR="004B5C12" w:rsidRPr="001B7F57" w:rsidRDefault="004B5C12" w:rsidP="009447B8">
            <w:pPr>
              <w:rPr>
                <w:b/>
                <w:color w:val="4472C4" w:themeColor="accent1"/>
                <w:u w:val="single"/>
              </w:rPr>
            </w:pPr>
            <w:r w:rsidRPr="001B7F57">
              <w:rPr>
                <w:b/>
                <w:color w:val="4472C4" w:themeColor="accent1"/>
                <w:u w:val="single"/>
              </w:rPr>
              <w:t>P</w:t>
            </w:r>
          </w:p>
        </w:tc>
        <w:tc>
          <w:tcPr>
            <w:tcW w:w="282" w:type="pct"/>
            <w:vAlign w:val="center"/>
          </w:tcPr>
          <w:p w14:paraId="71383530"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vAlign w:val="center"/>
          </w:tcPr>
          <w:p w14:paraId="145D6DC6"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7" w:type="pct"/>
            <w:tcBorders>
              <w:right w:val="single" w:sz="18" w:space="0" w:color="auto"/>
            </w:tcBorders>
            <w:vAlign w:val="center"/>
          </w:tcPr>
          <w:p w14:paraId="5F48F7CE"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5" w:type="pct"/>
            <w:tcBorders>
              <w:left w:val="single" w:sz="18" w:space="0" w:color="auto"/>
            </w:tcBorders>
            <w:vAlign w:val="center"/>
          </w:tcPr>
          <w:p w14:paraId="0D57807E"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vAlign w:val="center"/>
          </w:tcPr>
          <w:p w14:paraId="70E90F67"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3800D403"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12D238A8"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tcBorders>
              <w:right w:val="single" w:sz="18" w:space="0" w:color="auto"/>
            </w:tcBorders>
            <w:vAlign w:val="center"/>
          </w:tcPr>
          <w:p w14:paraId="25D43609"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tcBorders>
              <w:left w:val="single" w:sz="18" w:space="0" w:color="auto"/>
            </w:tcBorders>
            <w:vAlign w:val="center"/>
          </w:tcPr>
          <w:p w14:paraId="5929C92A"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8" w:type="pct"/>
            <w:vAlign w:val="center"/>
          </w:tcPr>
          <w:p w14:paraId="33173E8E"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60" w:type="pct"/>
            <w:vAlign w:val="center"/>
          </w:tcPr>
          <w:p w14:paraId="1DC78F73"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4" w:type="pct"/>
            <w:vAlign w:val="center"/>
          </w:tcPr>
          <w:p w14:paraId="0BD6FBA8" w14:textId="77777777" w:rsidR="004B5C12" w:rsidRPr="001B7F57" w:rsidRDefault="004B5C12" w:rsidP="009447B8">
            <w:pPr>
              <w:jc w:val="center"/>
              <w:rPr>
                <w:b/>
                <w:color w:val="4472C4" w:themeColor="accent1"/>
                <w:u w:val="single"/>
              </w:rPr>
            </w:pPr>
            <w:r w:rsidRPr="001B7F57">
              <w:rPr>
                <w:b/>
                <w:color w:val="4472C4" w:themeColor="accent1"/>
                <w:u w:val="single"/>
              </w:rPr>
              <w:t>P</w:t>
            </w:r>
          </w:p>
        </w:tc>
      </w:tr>
      <w:tr w:rsidR="004B5C12" w:rsidRPr="0049244A" w14:paraId="5B710286" w14:textId="77777777" w:rsidTr="009447B8">
        <w:trPr>
          <w:trHeight w:val="425"/>
        </w:trPr>
        <w:tc>
          <w:tcPr>
            <w:tcW w:w="1291" w:type="pct"/>
            <w:tcBorders>
              <w:right w:val="double" w:sz="4" w:space="0" w:color="auto"/>
            </w:tcBorders>
          </w:tcPr>
          <w:p w14:paraId="615367D8" w14:textId="77777777" w:rsidR="004B5C12" w:rsidRPr="001B7F57" w:rsidRDefault="004B5C12" w:rsidP="004B5C12">
            <w:pPr>
              <w:pStyle w:val="ListParagraph"/>
              <w:numPr>
                <w:ilvl w:val="0"/>
                <w:numId w:val="8"/>
              </w:numPr>
              <w:spacing w:after="0" w:line="240" w:lineRule="auto"/>
              <w:ind w:left="360" w:hanging="180"/>
              <w:contextualSpacing w:val="0"/>
              <w:rPr>
                <w:rFonts w:asciiTheme="minorHAnsi" w:hAnsiTheme="minorHAnsi"/>
                <w:color w:val="4472C4" w:themeColor="accent1"/>
                <w:u w:val="single"/>
              </w:rPr>
            </w:pPr>
            <w:r w:rsidRPr="001B7F57">
              <w:rPr>
                <w:rFonts w:asciiTheme="minorHAnsi" w:hAnsiTheme="minorHAnsi"/>
                <w:color w:val="4472C4" w:themeColor="accent1"/>
                <w:u w:val="single"/>
              </w:rPr>
              <w:t>Freestanding</w:t>
            </w:r>
          </w:p>
        </w:tc>
        <w:tc>
          <w:tcPr>
            <w:tcW w:w="282" w:type="pct"/>
            <w:tcBorders>
              <w:left w:val="double" w:sz="4" w:space="0" w:color="auto"/>
            </w:tcBorders>
            <w:vAlign w:val="center"/>
          </w:tcPr>
          <w:p w14:paraId="57C3A39B" w14:textId="77777777" w:rsidR="004B5C12" w:rsidRPr="001B7F57" w:rsidRDefault="004B5C12" w:rsidP="009447B8">
            <w:pPr>
              <w:rPr>
                <w:b/>
                <w:color w:val="4472C4" w:themeColor="accent1"/>
                <w:u w:val="single"/>
              </w:rPr>
            </w:pPr>
            <w:r w:rsidRPr="001B7F57">
              <w:rPr>
                <w:b/>
                <w:color w:val="4472C4" w:themeColor="accent1"/>
                <w:u w:val="single"/>
              </w:rPr>
              <w:t>P</w:t>
            </w:r>
          </w:p>
        </w:tc>
        <w:tc>
          <w:tcPr>
            <w:tcW w:w="282" w:type="pct"/>
            <w:vAlign w:val="center"/>
          </w:tcPr>
          <w:p w14:paraId="07685EDC"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vAlign w:val="center"/>
          </w:tcPr>
          <w:p w14:paraId="4A0BC077"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7" w:type="pct"/>
            <w:tcBorders>
              <w:right w:val="single" w:sz="18" w:space="0" w:color="auto"/>
            </w:tcBorders>
            <w:vAlign w:val="center"/>
          </w:tcPr>
          <w:p w14:paraId="3FE364F4"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5" w:type="pct"/>
            <w:tcBorders>
              <w:left w:val="single" w:sz="18" w:space="0" w:color="auto"/>
            </w:tcBorders>
            <w:vAlign w:val="center"/>
          </w:tcPr>
          <w:p w14:paraId="11A4C8AC"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79B334C4"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6AFC2B93"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6720A7A7"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tcBorders>
              <w:right w:val="single" w:sz="18" w:space="0" w:color="auto"/>
            </w:tcBorders>
            <w:vAlign w:val="center"/>
          </w:tcPr>
          <w:p w14:paraId="6ACC983E"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tcBorders>
              <w:left w:val="single" w:sz="18" w:space="0" w:color="auto"/>
            </w:tcBorders>
            <w:vAlign w:val="center"/>
          </w:tcPr>
          <w:p w14:paraId="45F975EA"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8" w:type="pct"/>
            <w:vAlign w:val="center"/>
          </w:tcPr>
          <w:p w14:paraId="0E2D615C"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60" w:type="pct"/>
            <w:vAlign w:val="center"/>
          </w:tcPr>
          <w:p w14:paraId="7DFCC79B"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4" w:type="pct"/>
            <w:vAlign w:val="center"/>
          </w:tcPr>
          <w:p w14:paraId="6582868F" w14:textId="77777777" w:rsidR="004B5C12" w:rsidRPr="001B7F57" w:rsidRDefault="004B5C12" w:rsidP="009447B8">
            <w:pPr>
              <w:jc w:val="center"/>
              <w:rPr>
                <w:b/>
                <w:color w:val="4472C4" w:themeColor="accent1"/>
                <w:u w:val="single"/>
              </w:rPr>
            </w:pPr>
            <w:r w:rsidRPr="001B7F57">
              <w:rPr>
                <w:b/>
                <w:color w:val="4472C4" w:themeColor="accent1"/>
                <w:u w:val="single"/>
              </w:rPr>
              <w:t>P</w:t>
            </w:r>
          </w:p>
        </w:tc>
      </w:tr>
      <w:tr w:rsidR="004B5C12" w:rsidRPr="0049244A" w14:paraId="04D4AD6B" w14:textId="77777777" w:rsidTr="009447B8">
        <w:trPr>
          <w:trHeight w:val="425"/>
        </w:trPr>
        <w:tc>
          <w:tcPr>
            <w:tcW w:w="1291" w:type="pct"/>
            <w:tcBorders>
              <w:right w:val="double" w:sz="4" w:space="0" w:color="auto"/>
            </w:tcBorders>
          </w:tcPr>
          <w:p w14:paraId="197AC212" w14:textId="77777777" w:rsidR="004B5C12" w:rsidRPr="001B7F57" w:rsidRDefault="004B5C12" w:rsidP="009447B8">
            <w:pPr>
              <w:rPr>
                <w:rFonts w:asciiTheme="minorHAnsi" w:hAnsiTheme="minorHAnsi"/>
                <w:color w:val="4472C4" w:themeColor="accent1"/>
                <w:u w:val="single"/>
              </w:rPr>
            </w:pPr>
          </w:p>
          <w:p w14:paraId="1573FBE4" w14:textId="77777777" w:rsidR="004B5C12" w:rsidRPr="001B7F57" w:rsidRDefault="004B5C12" w:rsidP="009447B8">
            <w:pPr>
              <w:rPr>
                <w:rFonts w:asciiTheme="minorHAnsi" w:hAnsiTheme="minorHAnsi"/>
                <w:color w:val="4472C4" w:themeColor="accent1"/>
                <w:u w:val="single"/>
              </w:rPr>
            </w:pPr>
          </w:p>
          <w:p w14:paraId="1D931B05" w14:textId="77777777" w:rsidR="004B5C12" w:rsidRPr="001B7F57" w:rsidRDefault="004B5C12" w:rsidP="009447B8">
            <w:pPr>
              <w:rPr>
                <w:rFonts w:asciiTheme="minorHAnsi" w:hAnsiTheme="minorHAnsi"/>
                <w:color w:val="4472C4" w:themeColor="accent1"/>
                <w:u w:val="single"/>
              </w:rPr>
            </w:pPr>
          </w:p>
          <w:p w14:paraId="2F804358" w14:textId="77777777" w:rsidR="004B5C12" w:rsidRPr="001B7F57" w:rsidRDefault="004B5C12" w:rsidP="009447B8">
            <w:pPr>
              <w:rPr>
                <w:rFonts w:asciiTheme="minorHAnsi" w:hAnsiTheme="minorHAnsi"/>
                <w:color w:val="4472C4" w:themeColor="accent1"/>
                <w:u w:val="single"/>
              </w:rPr>
            </w:pPr>
          </w:p>
          <w:p w14:paraId="66A4471B" w14:textId="77777777" w:rsidR="004B5C12" w:rsidRPr="001B7F57" w:rsidRDefault="004B5C12" w:rsidP="009447B8">
            <w:pPr>
              <w:rPr>
                <w:rFonts w:asciiTheme="minorHAnsi" w:hAnsiTheme="minorHAnsi"/>
                <w:color w:val="4472C4" w:themeColor="accent1"/>
                <w:u w:val="single"/>
              </w:rPr>
            </w:pPr>
            <w:r w:rsidRPr="001B7F57">
              <w:rPr>
                <w:rFonts w:asciiTheme="minorHAnsi" w:hAnsiTheme="minorHAnsi"/>
                <w:color w:val="4472C4" w:themeColor="accent1"/>
                <w:u w:val="single"/>
              </w:rPr>
              <w:lastRenderedPageBreak/>
              <w:t>Small Utility-Scale solar energy system - principal use (See Article XX)</w:t>
            </w:r>
          </w:p>
        </w:tc>
        <w:tc>
          <w:tcPr>
            <w:tcW w:w="282" w:type="pct"/>
            <w:tcBorders>
              <w:left w:val="double" w:sz="4" w:space="0" w:color="auto"/>
            </w:tcBorders>
            <w:vAlign w:val="center"/>
          </w:tcPr>
          <w:p w14:paraId="4748C33B" w14:textId="77777777" w:rsidR="004B5C12" w:rsidRPr="001B7F57" w:rsidRDefault="004B5C12" w:rsidP="009447B8">
            <w:pPr>
              <w:rPr>
                <w:b/>
                <w:color w:val="4472C4" w:themeColor="accent1"/>
                <w:u w:val="single"/>
              </w:rPr>
            </w:pPr>
          </w:p>
        </w:tc>
        <w:tc>
          <w:tcPr>
            <w:tcW w:w="282" w:type="pct"/>
            <w:vAlign w:val="center"/>
          </w:tcPr>
          <w:p w14:paraId="4D7681E7" w14:textId="77777777" w:rsidR="004B5C12" w:rsidRPr="001B7F57" w:rsidRDefault="004B5C12" w:rsidP="009447B8">
            <w:pPr>
              <w:jc w:val="center"/>
              <w:rPr>
                <w:b/>
                <w:color w:val="4472C4" w:themeColor="accent1"/>
                <w:u w:val="single"/>
              </w:rPr>
            </w:pPr>
          </w:p>
        </w:tc>
        <w:tc>
          <w:tcPr>
            <w:tcW w:w="283" w:type="pct"/>
            <w:vAlign w:val="center"/>
          </w:tcPr>
          <w:p w14:paraId="56626218" w14:textId="77777777" w:rsidR="004B5C12" w:rsidRPr="001B7F57" w:rsidRDefault="004B5C12" w:rsidP="009447B8">
            <w:pPr>
              <w:jc w:val="center"/>
              <w:rPr>
                <w:b/>
                <w:color w:val="4472C4" w:themeColor="accent1"/>
                <w:u w:val="single"/>
              </w:rPr>
            </w:pPr>
          </w:p>
        </w:tc>
        <w:tc>
          <w:tcPr>
            <w:tcW w:w="287" w:type="pct"/>
            <w:tcBorders>
              <w:right w:val="single" w:sz="18" w:space="0" w:color="auto"/>
            </w:tcBorders>
            <w:vAlign w:val="center"/>
          </w:tcPr>
          <w:p w14:paraId="175A1122" w14:textId="77777777" w:rsidR="004B5C12" w:rsidRPr="001B7F57" w:rsidRDefault="004B5C12" w:rsidP="009447B8">
            <w:pPr>
              <w:jc w:val="center"/>
              <w:rPr>
                <w:b/>
                <w:color w:val="4472C4" w:themeColor="accent1"/>
                <w:u w:val="single"/>
              </w:rPr>
            </w:pPr>
          </w:p>
        </w:tc>
        <w:tc>
          <w:tcPr>
            <w:tcW w:w="285" w:type="pct"/>
            <w:tcBorders>
              <w:left w:val="single" w:sz="18" w:space="0" w:color="auto"/>
            </w:tcBorders>
            <w:vAlign w:val="center"/>
          </w:tcPr>
          <w:p w14:paraId="754FF3BB" w14:textId="77777777" w:rsidR="004B5C12" w:rsidRPr="001B7F57" w:rsidRDefault="004B5C12" w:rsidP="009447B8">
            <w:pPr>
              <w:jc w:val="center"/>
              <w:rPr>
                <w:b/>
                <w:color w:val="4472C4" w:themeColor="accent1"/>
                <w:u w:val="single"/>
              </w:rPr>
            </w:pPr>
          </w:p>
        </w:tc>
        <w:tc>
          <w:tcPr>
            <w:tcW w:w="283" w:type="pct"/>
            <w:vAlign w:val="center"/>
          </w:tcPr>
          <w:p w14:paraId="1746377C" w14:textId="77777777" w:rsidR="004B5C12" w:rsidRPr="001B7F57" w:rsidRDefault="004B5C12" w:rsidP="009447B8">
            <w:pPr>
              <w:jc w:val="center"/>
              <w:rPr>
                <w:b/>
                <w:color w:val="4472C4" w:themeColor="accent1"/>
                <w:u w:val="single"/>
              </w:rPr>
            </w:pPr>
          </w:p>
        </w:tc>
        <w:tc>
          <w:tcPr>
            <w:tcW w:w="284" w:type="pct"/>
            <w:vAlign w:val="center"/>
          </w:tcPr>
          <w:p w14:paraId="7BCB4EE9" w14:textId="77777777" w:rsidR="004B5C12" w:rsidRPr="001B7F57" w:rsidRDefault="004B5C12" w:rsidP="009447B8">
            <w:pPr>
              <w:jc w:val="center"/>
              <w:rPr>
                <w:b/>
                <w:color w:val="4472C4" w:themeColor="accent1"/>
                <w:u w:val="single"/>
              </w:rPr>
            </w:pPr>
          </w:p>
        </w:tc>
        <w:tc>
          <w:tcPr>
            <w:tcW w:w="284" w:type="pct"/>
            <w:vAlign w:val="center"/>
          </w:tcPr>
          <w:p w14:paraId="419F29B2" w14:textId="77777777" w:rsidR="004B5C12" w:rsidRPr="001B7F57" w:rsidRDefault="004B5C12" w:rsidP="009447B8">
            <w:pPr>
              <w:jc w:val="center"/>
              <w:rPr>
                <w:b/>
                <w:color w:val="4472C4" w:themeColor="accent1"/>
                <w:u w:val="single"/>
              </w:rPr>
            </w:pPr>
          </w:p>
        </w:tc>
        <w:tc>
          <w:tcPr>
            <w:tcW w:w="284" w:type="pct"/>
            <w:tcBorders>
              <w:right w:val="single" w:sz="18" w:space="0" w:color="auto"/>
            </w:tcBorders>
            <w:vAlign w:val="center"/>
          </w:tcPr>
          <w:p w14:paraId="120F5E9E" w14:textId="77777777" w:rsidR="004B5C12" w:rsidRPr="001B7F57" w:rsidRDefault="004B5C12" w:rsidP="009447B8">
            <w:pPr>
              <w:jc w:val="center"/>
              <w:rPr>
                <w:b/>
                <w:color w:val="4472C4" w:themeColor="accent1"/>
                <w:u w:val="single"/>
              </w:rPr>
            </w:pPr>
          </w:p>
        </w:tc>
        <w:tc>
          <w:tcPr>
            <w:tcW w:w="283" w:type="pct"/>
            <w:tcBorders>
              <w:left w:val="single" w:sz="18" w:space="0" w:color="auto"/>
            </w:tcBorders>
            <w:vAlign w:val="center"/>
          </w:tcPr>
          <w:p w14:paraId="72AD9BC7" w14:textId="77777777" w:rsidR="004B5C12" w:rsidRPr="001B7F57" w:rsidRDefault="004B5C12" w:rsidP="009447B8">
            <w:pPr>
              <w:jc w:val="center"/>
              <w:rPr>
                <w:b/>
                <w:color w:val="4472C4" w:themeColor="accent1"/>
                <w:u w:val="single"/>
              </w:rPr>
            </w:pPr>
          </w:p>
        </w:tc>
        <w:tc>
          <w:tcPr>
            <w:tcW w:w="308" w:type="pct"/>
            <w:vAlign w:val="center"/>
          </w:tcPr>
          <w:p w14:paraId="093E0CF8" w14:textId="77777777" w:rsidR="004B5C12" w:rsidRPr="001B7F57" w:rsidRDefault="004B5C12" w:rsidP="009447B8">
            <w:pPr>
              <w:jc w:val="center"/>
              <w:rPr>
                <w:b/>
                <w:color w:val="4472C4" w:themeColor="accent1"/>
                <w:u w:val="single"/>
              </w:rPr>
            </w:pPr>
          </w:p>
        </w:tc>
        <w:tc>
          <w:tcPr>
            <w:tcW w:w="260" w:type="pct"/>
            <w:vAlign w:val="center"/>
          </w:tcPr>
          <w:p w14:paraId="2C843A52" w14:textId="77777777" w:rsidR="004B5C12" w:rsidRPr="001B7F57" w:rsidRDefault="004B5C12" w:rsidP="009447B8">
            <w:pPr>
              <w:jc w:val="center"/>
              <w:rPr>
                <w:b/>
                <w:color w:val="4472C4" w:themeColor="accent1"/>
                <w:u w:val="single"/>
              </w:rPr>
            </w:pPr>
          </w:p>
        </w:tc>
        <w:tc>
          <w:tcPr>
            <w:tcW w:w="304" w:type="pct"/>
            <w:vAlign w:val="center"/>
          </w:tcPr>
          <w:p w14:paraId="67BE266A" w14:textId="77777777" w:rsidR="004B5C12" w:rsidRPr="001B7F57" w:rsidRDefault="004B5C12" w:rsidP="009447B8">
            <w:pPr>
              <w:jc w:val="center"/>
              <w:rPr>
                <w:b/>
                <w:color w:val="4472C4" w:themeColor="accent1"/>
                <w:u w:val="single"/>
              </w:rPr>
            </w:pPr>
          </w:p>
        </w:tc>
      </w:tr>
      <w:tr w:rsidR="004B5C12" w:rsidRPr="0049244A" w14:paraId="6C953DAE" w14:textId="77777777" w:rsidTr="009447B8">
        <w:trPr>
          <w:trHeight w:val="425"/>
        </w:trPr>
        <w:tc>
          <w:tcPr>
            <w:tcW w:w="1291" w:type="pct"/>
            <w:tcBorders>
              <w:right w:val="double" w:sz="4" w:space="0" w:color="auto"/>
            </w:tcBorders>
          </w:tcPr>
          <w:p w14:paraId="6E0D8D7A" w14:textId="77777777" w:rsidR="004B5C12" w:rsidRPr="001B7F57" w:rsidRDefault="004B5C12" w:rsidP="004B5C12">
            <w:pPr>
              <w:pStyle w:val="ListParagraph"/>
              <w:numPr>
                <w:ilvl w:val="0"/>
                <w:numId w:val="8"/>
              </w:numPr>
              <w:spacing w:after="0" w:line="240" w:lineRule="auto"/>
              <w:ind w:left="360" w:hanging="180"/>
              <w:contextualSpacing w:val="0"/>
              <w:rPr>
                <w:rFonts w:asciiTheme="minorHAnsi" w:hAnsiTheme="minorHAnsi"/>
                <w:color w:val="4472C4" w:themeColor="accent1"/>
                <w:u w:val="single"/>
              </w:rPr>
            </w:pPr>
            <w:r w:rsidRPr="001B7F57">
              <w:rPr>
                <w:rFonts w:asciiTheme="minorHAnsi" w:hAnsiTheme="minorHAnsi"/>
                <w:color w:val="4472C4" w:themeColor="accent1"/>
                <w:u w:val="single"/>
              </w:rPr>
              <w:t>Building-mounted</w:t>
            </w:r>
          </w:p>
        </w:tc>
        <w:tc>
          <w:tcPr>
            <w:tcW w:w="282" w:type="pct"/>
            <w:tcBorders>
              <w:left w:val="double" w:sz="4" w:space="0" w:color="auto"/>
            </w:tcBorders>
            <w:vAlign w:val="center"/>
          </w:tcPr>
          <w:p w14:paraId="18F97696" w14:textId="77777777" w:rsidR="004B5C12" w:rsidRPr="001B7F57" w:rsidRDefault="004B5C12" w:rsidP="009447B8">
            <w:pPr>
              <w:rPr>
                <w:b/>
                <w:color w:val="4472C4" w:themeColor="accent1"/>
                <w:u w:val="single"/>
              </w:rPr>
            </w:pPr>
            <w:r w:rsidRPr="001B7F57">
              <w:rPr>
                <w:b/>
                <w:color w:val="4472C4" w:themeColor="accent1"/>
                <w:u w:val="single"/>
              </w:rPr>
              <w:t>X</w:t>
            </w:r>
          </w:p>
        </w:tc>
        <w:tc>
          <w:tcPr>
            <w:tcW w:w="282" w:type="pct"/>
            <w:vAlign w:val="center"/>
          </w:tcPr>
          <w:p w14:paraId="3547164F"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032FA8EC"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7" w:type="pct"/>
            <w:tcBorders>
              <w:right w:val="single" w:sz="18" w:space="0" w:color="auto"/>
            </w:tcBorders>
            <w:vAlign w:val="center"/>
          </w:tcPr>
          <w:p w14:paraId="56701F81"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5" w:type="pct"/>
            <w:tcBorders>
              <w:left w:val="single" w:sz="18" w:space="0" w:color="auto"/>
            </w:tcBorders>
            <w:vAlign w:val="center"/>
          </w:tcPr>
          <w:p w14:paraId="2675736E"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vAlign w:val="center"/>
          </w:tcPr>
          <w:p w14:paraId="02DA0C18"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020EB2FD"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08F54538"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tcBorders>
              <w:right w:val="single" w:sz="18" w:space="0" w:color="auto"/>
            </w:tcBorders>
            <w:vAlign w:val="center"/>
          </w:tcPr>
          <w:p w14:paraId="446D2D63"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tcBorders>
              <w:left w:val="single" w:sz="18" w:space="0" w:color="auto"/>
            </w:tcBorders>
            <w:vAlign w:val="center"/>
          </w:tcPr>
          <w:p w14:paraId="2B72FC16"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8" w:type="pct"/>
            <w:vAlign w:val="center"/>
          </w:tcPr>
          <w:p w14:paraId="753DA670"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60" w:type="pct"/>
            <w:vAlign w:val="center"/>
          </w:tcPr>
          <w:p w14:paraId="59271DB5"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4" w:type="pct"/>
            <w:vAlign w:val="center"/>
          </w:tcPr>
          <w:p w14:paraId="4CAB8EE1" w14:textId="77777777" w:rsidR="004B5C12" w:rsidRPr="001B7F57" w:rsidRDefault="004B5C12" w:rsidP="009447B8">
            <w:pPr>
              <w:jc w:val="center"/>
              <w:rPr>
                <w:b/>
                <w:color w:val="4472C4" w:themeColor="accent1"/>
                <w:u w:val="single"/>
              </w:rPr>
            </w:pPr>
            <w:r w:rsidRPr="001B7F57">
              <w:rPr>
                <w:b/>
                <w:color w:val="4472C4" w:themeColor="accent1"/>
                <w:u w:val="single"/>
              </w:rPr>
              <w:t>P</w:t>
            </w:r>
          </w:p>
        </w:tc>
      </w:tr>
      <w:tr w:rsidR="004B5C12" w:rsidRPr="0049244A" w14:paraId="76490493" w14:textId="77777777" w:rsidTr="009447B8">
        <w:trPr>
          <w:trHeight w:val="425"/>
        </w:trPr>
        <w:tc>
          <w:tcPr>
            <w:tcW w:w="1291" w:type="pct"/>
            <w:tcBorders>
              <w:right w:val="double" w:sz="4" w:space="0" w:color="auto"/>
            </w:tcBorders>
          </w:tcPr>
          <w:p w14:paraId="346C244A" w14:textId="77777777" w:rsidR="004B5C12" w:rsidRPr="001B7F57" w:rsidRDefault="004B5C12" w:rsidP="004B5C12">
            <w:pPr>
              <w:pStyle w:val="ListParagraph"/>
              <w:numPr>
                <w:ilvl w:val="0"/>
                <w:numId w:val="8"/>
              </w:numPr>
              <w:spacing w:after="0" w:line="240" w:lineRule="auto"/>
              <w:ind w:left="360" w:hanging="180"/>
              <w:contextualSpacing w:val="0"/>
              <w:rPr>
                <w:rFonts w:asciiTheme="minorHAnsi" w:hAnsiTheme="minorHAnsi"/>
                <w:color w:val="4472C4" w:themeColor="accent1"/>
                <w:u w:val="single"/>
              </w:rPr>
            </w:pPr>
            <w:r w:rsidRPr="001B7F57">
              <w:rPr>
                <w:rFonts w:asciiTheme="minorHAnsi" w:hAnsiTheme="minorHAnsi"/>
                <w:color w:val="4472C4" w:themeColor="accent1"/>
                <w:u w:val="single"/>
              </w:rPr>
              <w:t>Freestanding</w:t>
            </w:r>
          </w:p>
        </w:tc>
        <w:tc>
          <w:tcPr>
            <w:tcW w:w="282" w:type="pct"/>
            <w:tcBorders>
              <w:left w:val="double" w:sz="4" w:space="0" w:color="auto"/>
            </w:tcBorders>
            <w:vAlign w:val="center"/>
          </w:tcPr>
          <w:p w14:paraId="33B8E9E6" w14:textId="77777777" w:rsidR="004B5C12" w:rsidRPr="001B7F57" w:rsidRDefault="004B5C12" w:rsidP="009447B8">
            <w:pPr>
              <w:rPr>
                <w:b/>
                <w:color w:val="4472C4" w:themeColor="accent1"/>
                <w:u w:val="single"/>
              </w:rPr>
            </w:pPr>
            <w:r w:rsidRPr="001B7F57">
              <w:rPr>
                <w:b/>
                <w:color w:val="4472C4" w:themeColor="accent1"/>
                <w:u w:val="single"/>
              </w:rPr>
              <w:t>X</w:t>
            </w:r>
          </w:p>
        </w:tc>
        <w:tc>
          <w:tcPr>
            <w:tcW w:w="282" w:type="pct"/>
            <w:vAlign w:val="center"/>
          </w:tcPr>
          <w:p w14:paraId="57F1ED2D"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7724C244"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7" w:type="pct"/>
            <w:tcBorders>
              <w:right w:val="single" w:sz="18" w:space="0" w:color="auto"/>
            </w:tcBorders>
            <w:vAlign w:val="center"/>
          </w:tcPr>
          <w:p w14:paraId="583DB29F"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5" w:type="pct"/>
            <w:tcBorders>
              <w:left w:val="single" w:sz="18" w:space="0" w:color="auto"/>
            </w:tcBorders>
            <w:vAlign w:val="center"/>
          </w:tcPr>
          <w:p w14:paraId="51FA6AC8"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0EDF5F83"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vAlign w:val="center"/>
          </w:tcPr>
          <w:p w14:paraId="2A5FEACD"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vAlign w:val="center"/>
          </w:tcPr>
          <w:p w14:paraId="3CBF7584"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tcBorders>
              <w:right w:val="single" w:sz="18" w:space="0" w:color="auto"/>
            </w:tcBorders>
            <w:vAlign w:val="center"/>
          </w:tcPr>
          <w:p w14:paraId="180C27E4"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tcBorders>
              <w:left w:val="single" w:sz="18" w:space="0" w:color="auto"/>
            </w:tcBorders>
            <w:vAlign w:val="center"/>
          </w:tcPr>
          <w:p w14:paraId="25630EA0"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8" w:type="pct"/>
            <w:vAlign w:val="center"/>
          </w:tcPr>
          <w:p w14:paraId="6434DDD3"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60" w:type="pct"/>
            <w:vAlign w:val="center"/>
          </w:tcPr>
          <w:p w14:paraId="5B2ECF5A"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4" w:type="pct"/>
            <w:vAlign w:val="center"/>
          </w:tcPr>
          <w:p w14:paraId="2DD59885" w14:textId="77777777" w:rsidR="004B5C12" w:rsidRPr="001B7F57" w:rsidRDefault="004B5C12" w:rsidP="009447B8">
            <w:pPr>
              <w:jc w:val="center"/>
              <w:rPr>
                <w:b/>
                <w:color w:val="4472C4" w:themeColor="accent1"/>
                <w:u w:val="single"/>
              </w:rPr>
            </w:pPr>
            <w:r w:rsidRPr="001B7F57">
              <w:rPr>
                <w:b/>
                <w:color w:val="4472C4" w:themeColor="accent1"/>
                <w:u w:val="single"/>
              </w:rPr>
              <w:t>P</w:t>
            </w:r>
          </w:p>
        </w:tc>
      </w:tr>
      <w:tr w:rsidR="004B5C12" w:rsidRPr="0049244A" w14:paraId="02D7B0F4" w14:textId="77777777" w:rsidTr="009447B8">
        <w:trPr>
          <w:trHeight w:val="425"/>
        </w:trPr>
        <w:tc>
          <w:tcPr>
            <w:tcW w:w="1291" w:type="pct"/>
            <w:tcBorders>
              <w:right w:val="double" w:sz="4" w:space="0" w:color="auto"/>
            </w:tcBorders>
          </w:tcPr>
          <w:p w14:paraId="6A416892" w14:textId="77777777" w:rsidR="004B5C12" w:rsidRPr="001B7F57" w:rsidRDefault="004B5C12" w:rsidP="009447B8">
            <w:pPr>
              <w:rPr>
                <w:rFonts w:asciiTheme="minorHAnsi" w:hAnsiTheme="minorHAnsi"/>
                <w:color w:val="4472C4" w:themeColor="accent1"/>
                <w:u w:val="single"/>
              </w:rPr>
            </w:pPr>
          </w:p>
          <w:p w14:paraId="6A559BE7" w14:textId="77777777" w:rsidR="004B5C12" w:rsidRPr="001B7F57" w:rsidRDefault="004B5C12" w:rsidP="009447B8">
            <w:pPr>
              <w:rPr>
                <w:rFonts w:asciiTheme="minorHAnsi" w:hAnsiTheme="minorHAnsi"/>
                <w:color w:val="4472C4" w:themeColor="accent1"/>
                <w:u w:val="single"/>
              </w:rPr>
            </w:pPr>
            <w:r w:rsidRPr="001B7F57">
              <w:rPr>
                <w:rFonts w:asciiTheme="minorHAnsi" w:hAnsiTheme="minorHAnsi"/>
                <w:color w:val="4472C4" w:themeColor="accent1"/>
                <w:u w:val="single"/>
              </w:rPr>
              <w:t>Large Utility-Scale solar energy system – principal use (See Article XX)</w:t>
            </w:r>
          </w:p>
        </w:tc>
        <w:tc>
          <w:tcPr>
            <w:tcW w:w="282" w:type="pct"/>
            <w:tcBorders>
              <w:left w:val="double" w:sz="4" w:space="0" w:color="auto"/>
            </w:tcBorders>
            <w:vAlign w:val="center"/>
          </w:tcPr>
          <w:p w14:paraId="714AD836" w14:textId="77777777" w:rsidR="004B5C12" w:rsidRPr="001B7F57" w:rsidRDefault="004B5C12" w:rsidP="009447B8">
            <w:pPr>
              <w:rPr>
                <w:b/>
                <w:color w:val="4472C4" w:themeColor="accent1"/>
                <w:u w:val="single"/>
              </w:rPr>
            </w:pPr>
          </w:p>
        </w:tc>
        <w:tc>
          <w:tcPr>
            <w:tcW w:w="282" w:type="pct"/>
            <w:vAlign w:val="center"/>
          </w:tcPr>
          <w:p w14:paraId="5F559404" w14:textId="77777777" w:rsidR="004B5C12" w:rsidRPr="001B7F57" w:rsidRDefault="004B5C12" w:rsidP="009447B8">
            <w:pPr>
              <w:jc w:val="center"/>
              <w:rPr>
                <w:b/>
                <w:color w:val="4472C4" w:themeColor="accent1"/>
                <w:u w:val="single"/>
              </w:rPr>
            </w:pPr>
          </w:p>
        </w:tc>
        <w:tc>
          <w:tcPr>
            <w:tcW w:w="283" w:type="pct"/>
            <w:vAlign w:val="center"/>
          </w:tcPr>
          <w:p w14:paraId="711C35CA" w14:textId="77777777" w:rsidR="004B5C12" w:rsidRPr="001B7F57" w:rsidRDefault="004B5C12" w:rsidP="009447B8">
            <w:pPr>
              <w:jc w:val="center"/>
              <w:rPr>
                <w:b/>
                <w:color w:val="4472C4" w:themeColor="accent1"/>
                <w:u w:val="single"/>
              </w:rPr>
            </w:pPr>
          </w:p>
        </w:tc>
        <w:tc>
          <w:tcPr>
            <w:tcW w:w="287" w:type="pct"/>
            <w:tcBorders>
              <w:right w:val="single" w:sz="18" w:space="0" w:color="auto"/>
            </w:tcBorders>
            <w:vAlign w:val="center"/>
          </w:tcPr>
          <w:p w14:paraId="62488C81" w14:textId="77777777" w:rsidR="004B5C12" w:rsidRPr="001B7F57" w:rsidRDefault="004B5C12" w:rsidP="009447B8">
            <w:pPr>
              <w:jc w:val="center"/>
              <w:rPr>
                <w:b/>
                <w:color w:val="4472C4" w:themeColor="accent1"/>
                <w:u w:val="single"/>
              </w:rPr>
            </w:pPr>
          </w:p>
        </w:tc>
        <w:tc>
          <w:tcPr>
            <w:tcW w:w="285" w:type="pct"/>
            <w:tcBorders>
              <w:left w:val="single" w:sz="18" w:space="0" w:color="auto"/>
            </w:tcBorders>
            <w:vAlign w:val="center"/>
          </w:tcPr>
          <w:p w14:paraId="1443101A" w14:textId="77777777" w:rsidR="004B5C12" w:rsidRPr="001B7F57" w:rsidRDefault="004B5C12" w:rsidP="009447B8">
            <w:pPr>
              <w:jc w:val="center"/>
              <w:rPr>
                <w:b/>
                <w:color w:val="4472C4" w:themeColor="accent1"/>
                <w:u w:val="single"/>
              </w:rPr>
            </w:pPr>
          </w:p>
        </w:tc>
        <w:tc>
          <w:tcPr>
            <w:tcW w:w="283" w:type="pct"/>
            <w:vAlign w:val="center"/>
          </w:tcPr>
          <w:p w14:paraId="6BCD63C0" w14:textId="77777777" w:rsidR="004B5C12" w:rsidRPr="001B7F57" w:rsidRDefault="004B5C12" w:rsidP="009447B8">
            <w:pPr>
              <w:jc w:val="center"/>
              <w:rPr>
                <w:b/>
                <w:color w:val="4472C4" w:themeColor="accent1"/>
                <w:u w:val="single"/>
              </w:rPr>
            </w:pPr>
          </w:p>
        </w:tc>
        <w:tc>
          <w:tcPr>
            <w:tcW w:w="284" w:type="pct"/>
            <w:vAlign w:val="center"/>
          </w:tcPr>
          <w:p w14:paraId="4178A054" w14:textId="77777777" w:rsidR="004B5C12" w:rsidRPr="001B7F57" w:rsidRDefault="004B5C12" w:rsidP="009447B8">
            <w:pPr>
              <w:jc w:val="center"/>
              <w:rPr>
                <w:b/>
                <w:color w:val="4472C4" w:themeColor="accent1"/>
                <w:u w:val="single"/>
              </w:rPr>
            </w:pPr>
          </w:p>
        </w:tc>
        <w:tc>
          <w:tcPr>
            <w:tcW w:w="284" w:type="pct"/>
            <w:vAlign w:val="center"/>
          </w:tcPr>
          <w:p w14:paraId="4BAB9FCA" w14:textId="77777777" w:rsidR="004B5C12" w:rsidRPr="001B7F57" w:rsidRDefault="004B5C12" w:rsidP="009447B8">
            <w:pPr>
              <w:jc w:val="center"/>
              <w:rPr>
                <w:b/>
                <w:color w:val="4472C4" w:themeColor="accent1"/>
                <w:u w:val="single"/>
              </w:rPr>
            </w:pPr>
          </w:p>
        </w:tc>
        <w:tc>
          <w:tcPr>
            <w:tcW w:w="284" w:type="pct"/>
            <w:tcBorders>
              <w:right w:val="single" w:sz="18" w:space="0" w:color="auto"/>
            </w:tcBorders>
            <w:vAlign w:val="center"/>
          </w:tcPr>
          <w:p w14:paraId="121DEA18" w14:textId="77777777" w:rsidR="004B5C12" w:rsidRPr="001B7F57" w:rsidRDefault="004B5C12" w:rsidP="009447B8">
            <w:pPr>
              <w:jc w:val="center"/>
              <w:rPr>
                <w:b/>
                <w:color w:val="4472C4" w:themeColor="accent1"/>
                <w:u w:val="single"/>
              </w:rPr>
            </w:pPr>
          </w:p>
        </w:tc>
        <w:tc>
          <w:tcPr>
            <w:tcW w:w="283" w:type="pct"/>
            <w:tcBorders>
              <w:left w:val="single" w:sz="18" w:space="0" w:color="auto"/>
            </w:tcBorders>
            <w:vAlign w:val="center"/>
          </w:tcPr>
          <w:p w14:paraId="20AA48CD" w14:textId="77777777" w:rsidR="004B5C12" w:rsidRPr="001B7F57" w:rsidRDefault="004B5C12" w:rsidP="009447B8">
            <w:pPr>
              <w:jc w:val="center"/>
              <w:rPr>
                <w:b/>
                <w:color w:val="4472C4" w:themeColor="accent1"/>
                <w:u w:val="single"/>
              </w:rPr>
            </w:pPr>
          </w:p>
        </w:tc>
        <w:tc>
          <w:tcPr>
            <w:tcW w:w="308" w:type="pct"/>
            <w:vAlign w:val="center"/>
          </w:tcPr>
          <w:p w14:paraId="3FB7AF26" w14:textId="77777777" w:rsidR="004B5C12" w:rsidRPr="001B7F57" w:rsidRDefault="004B5C12" w:rsidP="009447B8">
            <w:pPr>
              <w:jc w:val="center"/>
              <w:rPr>
                <w:b/>
                <w:color w:val="4472C4" w:themeColor="accent1"/>
                <w:u w:val="single"/>
              </w:rPr>
            </w:pPr>
          </w:p>
        </w:tc>
        <w:tc>
          <w:tcPr>
            <w:tcW w:w="260" w:type="pct"/>
            <w:vAlign w:val="center"/>
          </w:tcPr>
          <w:p w14:paraId="04C71402" w14:textId="77777777" w:rsidR="004B5C12" w:rsidRPr="001B7F57" w:rsidRDefault="004B5C12" w:rsidP="009447B8">
            <w:pPr>
              <w:jc w:val="center"/>
              <w:rPr>
                <w:b/>
                <w:color w:val="4472C4" w:themeColor="accent1"/>
                <w:u w:val="single"/>
              </w:rPr>
            </w:pPr>
          </w:p>
        </w:tc>
        <w:tc>
          <w:tcPr>
            <w:tcW w:w="304" w:type="pct"/>
            <w:vAlign w:val="center"/>
          </w:tcPr>
          <w:p w14:paraId="645743FA" w14:textId="77777777" w:rsidR="004B5C12" w:rsidRPr="001B7F57" w:rsidRDefault="004B5C12" w:rsidP="009447B8">
            <w:pPr>
              <w:jc w:val="center"/>
              <w:rPr>
                <w:b/>
                <w:color w:val="4472C4" w:themeColor="accent1"/>
                <w:u w:val="single"/>
              </w:rPr>
            </w:pPr>
          </w:p>
        </w:tc>
      </w:tr>
      <w:tr w:rsidR="004B5C12" w:rsidRPr="0049244A" w14:paraId="7E8B44F0" w14:textId="77777777" w:rsidTr="009447B8">
        <w:trPr>
          <w:trHeight w:val="425"/>
        </w:trPr>
        <w:tc>
          <w:tcPr>
            <w:tcW w:w="1291" w:type="pct"/>
            <w:tcBorders>
              <w:right w:val="double" w:sz="4" w:space="0" w:color="auto"/>
            </w:tcBorders>
          </w:tcPr>
          <w:p w14:paraId="27AC4008" w14:textId="77777777" w:rsidR="004B5C12" w:rsidRPr="001B7F57" w:rsidRDefault="004B5C12" w:rsidP="004B5C12">
            <w:pPr>
              <w:pStyle w:val="ListParagraph"/>
              <w:numPr>
                <w:ilvl w:val="0"/>
                <w:numId w:val="8"/>
              </w:numPr>
              <w:spacing w:after="0" w:line="240" w:lineRule="auto"/>
              <w:ind w:left="360" w:hanging="180"/>
              <w:contextualSpacing w:val="0"/>
              <w:rPr>
                <w:rFonts w:asciiTheme="minorHAnsi" w:hAnsiTheme="minorHAnsi"/>
                <w:color w:val="4472C4" w:themeColor="accent1"/>
                <w:u w:val="single"/>
              </w:rPr>
            </w:pPr>
            <w:r w:rsidRPr="001B7F57">
              <w:rPr>
                <w:rFonts w:asciiTheme="minorHAnsi" w:hAnsiTheme="minorHAnsi"/>
                <w:color w:val="4472C4" w:themeColor="accent1"/>
                <w:u w:val="single"/>
              </w:rPr>
              <w:t>Building-mounted</w:t>
            </w:r>
          </w:p>
        </w:tc>
        <w:tc>
          <w:tcPr>
            <w:tcW w:w="282" w:type="pct"/>
            <w:tcBorders>
              <w:left w:val="double" w:sz="4" w:space="0" w:color="auto"/>
            </w:tcBorders>
            <w:vAlign w:val="center"/>
          </w:tcPr>
          <w:p w14:paraId="16214003" w14:textId="77777777" w:rsidR="004B5C12" w:rsidRPr="001B7F57" w:rsidRDefault="004B5C12" w:rsidP="009447B8">
            <w:pPr>
              <w:rPr>
                <w:b/>
                <w:color w:val="4472C4" w:themeColor="accent1"/>
                <w:u w:val="single"/>
              </w:rPr>
            </w:pPr>
            <w:r w:rsidRPr="001B7F57">
              <w:rPr>
                <w:b/>
                <w:color w:val="4472C4" w:themeColor="accent1"/>
                <w:u w:val="single"/>
              </w:rPr>
              <w:t>X</w:t>
            </w:r>
          </w:p>
        </w:tc>
        <w:tc>
          <w:tcPr>
            <w:tcW w:w="282" w:type="pct"/>
            <w:vAlign w:val="center"/>
          </w:tcPr>
          <w:p w14:paraId="14A17A0D"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11D3F8BA"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7" w:type="pct"/>
            <w:tcBorders>
              <w:right w:val="single" w:sz="18" w:space="0" w:color="auto"/>
            </w:tcBorders>
            <w:vAlign w:val="center"/>
          </w:tcPr>
          <w:p w14:paraId="0BF9AD4C"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5" w:type="pct"/>
            <w:tcBorders>
              <w:left w:val="single" w:sz="18" w:space="0" w:color="auto"/>
            </w:tcBorders>
            <w:vAlign w:val="center"/>
          </w:tcPr>
          <w:p w14:paraId="0479F928"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56581E04"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vAlign w:val="center"/>
          </w:tcPr>
          <w:p w14:paraId="0D8458EC"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vAlign w:val="center"/>
          </w:tcPr>
          <w:p w14:paraId="29540491"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tcBorders>
              <w:right w:val="single" w:sz="18" w:space="0" w:color="auto"/>
            </w:tcBorders>
            <w:vAlign w:val="center"/>
          </w:tcPr>
          <w:p w14:paraId="173FF64F"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tcBorders>
              <w:left w:val="single" w:sz="18" w:space="0" w:color="auto"/>
            </w:tcBorders>
            <w:vAlign w:val="center"/>
          </w:tcPr>
          <w:p w14:paraId="0BD9010E"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8" w:type="pct"/>
            <w:vAlign w:val="center"/>
          </w:tcPr>
          <w:p w14:paraId="1F0A2D16"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60" w:type="pct"/>
            <w:vAlign w:val="center"/>
          </w:tcPr>
          <w:p w14:paraId="647064E7"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4" w:type="pct"/>
            <w:vAlign w:val="center"/>
          </w:tcPr>
          <w:p w14:paraId="46DBEFCC" w14:textId="77777777" w:rsidR="004B5C12" w:rsidRPr="001B7F57" w:rsidRDefault="004B5C12" w:rsidP="009447B8">
            <w:pPr>
              <w:jc w:val="center"/>
              <w:rPr>
                <w:b/>
                <w:color w:val="4472C4" w:themeColor="accent1"/>
                <w:u w:val="single"/>
              </w:rPr>
            </w:pPr>
            <w:r w:rsidRPr="001B7F57">
              <w:rPr>
                <w:b/>
                <w:color w:val="4472C4" w:themeColor="accent1"/>
                <w:u w:val="single"/>
              </w:rPr>
              <w:t>P</w:t>
            </w:r>
          </w:p>
        </w:tc>
      </w:tr>
      <w:tr w:rsidR="004B5C12" w:rsidRPr="0049244A" w14:paraId="47F6ECEC" w14:textId="77777777" w:rsidTr="009447B8">
        <w:trPr>
          <w:trHeight w:val="425"/>
        </w:trPr>
        <w:tc>
          <w:tcPr>
            <w:tcW w:w="1291" w:type="pct"/>
            <w:tcBorders>
              <w:right w:val="double" w:sz="4" w:space="0" w:color="auto"/>
            </w:tcBorders>
          </w:tcPr>
          <w:p w14:paraId="3FE0B79A" w14:textId="77777777" w:rsidR="004B5C12" w:rsidRPr="001B7F57" w:rsidRDefault="004B5C12" w:rsidP="004B5C12">
            <w:pPr>
              <w:pStyle w:val="ListParagraph"/>
              <w:numPr>
                <w:ilvl w:val="0"/>
                <w:numId w:val="8"/>
              </w:numPr>
              <w:spacing w:after="0" w:line="240" w:lineRule="auto"/>
              <w:ind w:left="360" w:hanging="180"/>
              <w:contextualSpacing w:val="0"/>
              <w:rPr>
                <w:rFonts w:asciiTheme="minorHAnsi" w:hAnsiTheme="minorHAnsi"/>
                <w:color w:val="4472C4" w:themeColor="accent1"/>
                <w:u w:val="single"/>
              </w:rPr>
            </w:pPr>
            <w:r w:rsidRPr="001B7F57">
              <w:rPr>
                <w:rFonts w:asciiTheme="minorHAnsi" w:hAnsiTheme="minorHAnsi"/>
                <w:color w:val="4472C4" w:themeColor="accent1"/>
                <w:u w:val="single"/>
              </w:rPr>
              <w:t>Freestanding</w:t>
            </w:r>
          </w:p>
        </w:tc>
        <w:tc>
          <w:tcPr>
            <w:tcW w:w="282" w:type="pct"/>
            <w:tcBorders>
              <w:left w:val="double" w:sz="4" w:space="0" w:color="auto"/>
            </w:tcBorders>
            <w:vAlign w:val="center"/>
          </w:tcPr>
          <w:p w14:paraId="2AF07812" w14:textId="77777777" w:rsidR="004B5C12" w:rsidRPr="001B7F57" w:rsidRDefault="004B5C12" w:rsidP="009447B8">
            <w:pPr>
              <w:rPr>
                <w:b/>
                <w:color w:val="4472C4" w:themeColor="accent1"/>
                <w:u w:val="single"/>
              </w:rPr>
            </w:pPr>
            <w:r w:rsidRPr="001B7F57">
              <w:rPr>
                <w:b/>
                <w:color w:val="4472C4" w:themeColor="accent1"/>
                <w:u w:val="single"/>
              </w:rPr>
              <w:t>X</w:t>
            </w:r>
          </w:p>
        </w:tc>
        <w:tc>
          <w:tcPr>
            <w:tcW w:w="282" w:type="pct"/>
            <w:vAlign w:val="center"/>
          </w:tcPr>
          <w:p w14:paraId="663B1E4F"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05069964"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7" w:type="pct"/>
            <w:tcBorders>
              <w:right w:val="single" w:sz="18" w:space="0" w:color="auto"/>
            </w:tcBorders>
            <w:vAlign w:val="center"/>
          </w:tcPr>
          <w:p w14:paraId="693738E3"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5" w:type="pct"/>
            <w:tcBorders>
              <w:left w:val="single" w:sz="18" w:space="0" w:color="auto"/>
            </w:tcBorders>
            <w:vAlign w:val="center"/>
          </w:tcPr>
          <w:p w14:paraId="068E5913"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1DFBE401"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vAlign w:val="center"/>
          </w:tcPr>
          <w:p w14:paraId="6366B362"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vAlign w:val="center"/>
          </w:tcPr>
          <w:p w14:paraId="75FC9934"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tcBorders>
              <w:right w:val="single" w:sz="18" w:space="0" w:color="auto"/>
            </w:tcBorders>
            <w:vAlign w:val="center"/>
          </w:tcPr>
          <w:p w14:paraId="768E6197"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tcBorders>
              <w:left w:val="single" w:sz="18" w:space="0" w:color="auto"/>
            </w:tcBorders>
            <w:vAlign w:val="center"/>
          </w:tcPr>
          <w:p w14:paraId="4F42C7E1"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308" w:type="pct"/>
            <w:vAlign w:val="center"/>
          </w:tcPr>
          <w:p w14:paraId="4FFADD7A" w14:textId="77777777" w:rsidR="004B5C12" w:rsidRPr="001B7F57" w:rsidRDefault="004B5C12" w:rsidP="009447B8">
            <w:pPr>
              <w:jc w:val="center"/>
              <w:rPr>
                <w:b/>
                <w:color w:val="4472C4" w:themeColor="accent1"/>
                <w:u w:val="single"/>
              </w:rPr>
            </w:pPr>
            <w:r w:rsidRPr="001B7F57">
              <w:rPr>
                <w:b/>
                <w:color w:val="4472C4" w:themeColor="accent1"/>
                <w:u w:val="single"/>
              </w:rPr>
              <w:t>CU</w:t>
            </w:r>
          </w:p>
        </w:tc>
        <w:tc>
          <w:tcPr>
            <w:tcW w:w="260" w:type="pct"/>
            <w:vAlign w:val="center"/>
          </w:tcPr>
          <w:p w14:paraId="660F69E2" w14:textId="77777777" w:rsidR="004B5C12" w:rsidRPr="001B7F57" w:rsidRDefault="004B5C12" w:rsidP="009447B8">
            <w:pPr>
              <w:jc w:val="center"/>
              <w:rPr>
                <w:b/>
                <w:color w:val="4472C4" w:themeColor="accent1"/>
                <w:u w:val="single"/>
              </w:rPr>
            </w:pPr>
            <w:r w:rsidRPr="001B7F57">
              <w:rPr>
                <w:b/>
                <w:color w:val="4472C4" w:themeColor="accent1"/>
                <w:u w:val="single"/>
              </w:rPr>
              <w:t>CU</w:t>
            </w:r>
          </w:p>
        </w:tc>
        <w:tc>
          <w:tcPr>
            <w:tcW w:w="304" w:type="pct"/>
            <w:vAlign w:val="center"/>
          </w:tcPr>
          <w:p w14:paraId="785DF7C3" w14:textId="77777777" w:rsidR="004B5C12" w:rsidRPr="001B7F57" w:rsidRDefault="004B5C12" w:rsidP="009447B8">
            <w:pPr>
              <w:jc w:val="center"/>
              <w:rPr>
                <w:b/>
                <w:color w:val="4472C4" w:themeColor="accent1"/>
                <w:u w:val="single"/>
              </w:rPr>
            </w:pPr>
            <w:r w:rsidRPr="001B7F57">
              <w:rPr>
                <w:b/>
                <w:color w:val="4472C4" w:themeColor="accent1"/>
                <w:u w:val="single"/>
              </w:rPr>
              <w:t>X</w:t>
            </w:r>
          </w:p>
        </w:tc>
      </w:tr>
      <w:tr w:rsidR="004B5C12" w:rsidRPr="0049244A" w14:paraId="0F8A9B87" w14:textId="77777777" w:rsidTr="009447B8">
        <w:trPr>
          <w:trHeight w:val="425"/>
        </w:trPr>
        <w:tc>
          <w:tcPr>
            <w:tcW w:w="1291" w:type="pct"/>
            <w:tcBorders>
              <w:right w:val="double" w:sz="4" w:space="0" w:color="auto"/>
            </w:tcBorders>
          </w:tcPr>
          <w:p w14:paraId="66EC07F4" w14:textId="77777777" w:rsidR="004B5C12" w:rsidRPr="001B7F57" w:rsidRDefault="004B5C12" w:rsidP="009447B8">
            <w:pPr>
              <w:pStyle w:val="ListParagraph"/>
              <w:ind w:left="360"/>
              <w:rPr>
                <w:rFonts w:asciiTheme="minorHAnsi" w:hAnsiTheme="minorHAnsi"/>
                <w:color w:val="4472C4" w:themeColor="accent1"/>
                <w:u w:val="single"/>
              </w:rPr>
            </w:pPr>
          </w:p>
        </w:tc>
        <w:tc>
          <w:tcPr>
            <w:tcW w:w="282" w:type="pct"/>
            <w:tcBorders>
              <w:left w:val="double" w:sz="4" w:space="0" w:color="auto"/>
            </w:tcBorders>
            <w:vAlign w:val="center"/>
          </w:tcPr>
          <w:p w14:paraId="07F9FCE7" w14:textId="77777777" w:rsidR="004B5C12" w:rsidRPr="001B7F57" w:rsidRDefault="004B5C12" w:rsidP="009447B8">
            <w:pPr>
              <w:rPr>
                <w:b/>
                <w:color w:val="4472C4" w:themeColor="accent1"/>
                <w:u w:val="single"/>
              </w:rPr>
            </w:pPr>
          </w:p>
        </w:tc>
        <w:tc>
          <w:tcPr>
            <w:tcW w:w="282" w:type="pct"/>
            <w:vAlign w:val="center"/>
          </w:tcPr>
          <w:p w14:paraId="1C67D48E" w14:textId="77777777" w:rsidR="004B5C12" w:rsidRPr="001B7F57" w:rsidRDefault="004B5C12" w:rsidP="009447B8">
            <w:pPr>
              <w:jc w:val="center"/>
              <w:rPr>
                <w:b/>
                <w:color w:val="4472C4" w:themeColor="accent1"/>
                <w:u w:val="single"/>
              </w:rPr>
            </w:pPr>
          </w:p>
        </w:tc>
        <w:tc>
          <w:tcPr>
            <w:tcW w:w="283" w:type="pct"/>
            <w:vAlign w:val="center"/>
          </w:tcPr>
          <w:p w14:paraId="56520C9F" w14:textId="77777777" w:rsidR="004B5C12" w:rsidRPr="001B7F57" w:rsidRDefault="004B5C12" w:rsidP="009447B8">
            <w:pPr>
              <w:jc w:val="center"/>
              <w:rPr>
                <w:b/>
                <w:color w:val="4472C4" w:themeColor="accent1"/>
                <w:u w:val="single"/>
              </w:rPr>
            </w:pPr>
          </w:p>
        </w:tc>
        <w:tc>
          <w:tcPr>
            <w:tcW w:w="287" w:type="pct"/>
            <w:tcBorders>
              <w:right w:val="single" w:sz="18" w:space="0" w:color="auto"/>
            </w:tcBorders>
            <w:vAlign w:val="center"/>
          </w:tcPr>
          <w:p w14:paraId="24BB2314" w14:textId="77777777" w:rsidR="004B5C12" w:rsidRPr="001B7F57" w:rsidRDefault="004B5C12" w:rsidP="009447B8">
            <w:pPr>
              <w:jc w:val="center"/>
              <w:rPr>
                <w:b/>
                <w:color w:val="4472C4" w:themeColor="accent1"/>
                <w:u w:val="single"/>
              </w:rPr>
            </w:pPr>
          </w:p>
        </w:tc>
        <w:tc>
          <w:tcPr>
            <w:tcW w:w="285" w:type="pct"/>
            <w:tcBorders>
              <w:left w:val="single" w:sz="18" w:space="0" w:color="auto"/>
            </w:tcBorders>
            <w:vAlign w:val="center"/>
          </w:tcPr>
          <w:p w14:paraId="3A3D7EA6" w14:textId="77777777" w:rsidR="004B5C12" w:rsidRPr="001B7F57" w:rsidRDefault="004B5C12" w:rsidP="009447B8">
            <w:pPr>
              <w:jc w:val="center"/>
              <w:rPr>
                <w:b/>
                <w:color w:val="4472C4" w:themeColor="accent1"/>
                <w:u w:val="single"/>
              </w:rPr>
            </w:pPr>
          </w:p>
        </w:tc>
        <w:tc>
          <w:tcPr>
            <w:tcW w:w="283" w:type="pct"/>
            <w:vAlign w:val="center"/>
          </w:tcPr>
          <w:p w14:paraId="64306B9D" w14:textId="77777777" w:rsidR="004B5C12" w:rsidRPr="001B7F57" w:rsidRDefault="004B5C12" w:rsidP="009447B8">
            <w:pPr>
              <w:jc w:val="center"/>
              <w:rPr>
                <w:b/>
                <w:color w:val="4472C4" w:themeColor="accent1"/>
                <w:u w:val="single"/>
              </w:rPr>
            </w:pPr>
          </w:p>
        </w:tc>
        <w:tc>
          <w:tcPr>
            <w:tcW w:w="284" w:type="pct"/>
            <w:vAlign w:val="center"/>
          </w:tcPr>
          <w:p w14:paraId="309D408D" w14:textId="77777777" w:rsidR="004B5C12" w:rsidRPr="001B7F57" w:rsidRDefault="004B5C12" w:rsidP="009447B8">
            <w:pPr>
              <w:jc w:val="center"/>
              <w:rPr>
                <w:b/>
                <w:color w:val="4472C4" w:themeColor="accent1"/>
                <w:u w:val="single"/>
              </w:rPr>
            </w:pPr>
          </w:p>
        </w:tc>
        <w:tc>
          <w:tcPr>
            <w:tcW w:w="284" w:type="pct"/>
            <w:vAlign w:val="center"/>
          </w:tcPr>
          <w:p w14:paraId="1BC224E3" w14:textId="77777777" w:rsidR="004B5C12" w:rsidRPr="001B7F57" w:rsidRDefault="004B5C12" w:rsidP="009447B8">
            <w:pPr>
              <w:jc w:val="center"/>
              <w:rPr>
                <w:b/>
                <w:color w:val="4472C4" w:themeColor="accent1"/>
                <w:u w:val="single"/>
              </w:rPr>
            </w:pPr>
          </w:p>
        </w:tc>
        <w:tc>
          <w:tcPr>
            <w:tcW w:w="284" w:type="pct"/>
            <w:tcBorders>
              <w:right w:val="single" w:sz="18" w:space="0" w:color="auto"/>
            </w:tcBorders>
            <w:vAlign w:val="center"/>
          </w:tcPr>
          <w:p w14:paraId="020DCCC5" w14:textId="77777777" w:rsidR="004B5C12" w:rsidRPr="001B7F57" w:rsidRDefault="004B5C12" w:rsidP="009447B8">
            <w:pPr>
              <w:jc w:val="center"/>
              <w:rPr>
                <w:b/>
                <w:color w:val="4472C4" w:themeColor="accent1"/>
                <w:u w:val="single"/>
              </w:rPr>
            </w:pPr>
          </w:p>
        </w:tc>
        <w:tc>
          <w:tcPr>
            <w:tcW w:w="283" w:type="pct"/>
            <w:tcBorders>
              <w:left w:val="single" w:sz="18" w:space="0" w:color="auto"/>
            </w:tcBorders>
            <w:vAlign w:val="center"/>
          </w:tcPr>
          <w:p w14:paraId="66754CCC" w14:textId="77777777" w:rsidR="004B5C12" w:rsidRPr="001B7F57" w:rsidRDefault="004B5C12" w:rsidP="009447B8">
            <w:pPr>
              <w:jc w:val="center"/>
              <w:rPr>
                <w:b/>
                <w:color w:val="4472C4" w:themeColor="accent1"/>
                <w:u w:val="single"/>
              </w:rPr>
            </w:pPr>
          </w:p>
        </w:tc>
        <w:tc>
          <w:tcPr>
            <w:tcW w:w="308" w:type="pct"/>
            <w:vAlign w:val="center"/>
          </w:tcPr>
          <w:p w14:paraId="3D1026E6" w14:textId="77777777" w:rsidR="004B5C12" w:rsidRPr="001B7F57" w:rsidRDefault="004B5C12" w:rsidP="009447B8">
            <w:pPr>
              <w:jc w:val="center"/>
              <w:rPr>
                <w:b/>
                <w:color w:val="4472C4" w:themeColor="accent1"/>
                <w:u w:val="single"/>
              </w:rPr>
            </w:pPr>
          </w:p>
        </w:tc>
        <w:tc>
          <w:tcPr>
            <w:tcW w:w="260" w:type="pct"/>
            <w:vAlign w:val="center"/>
          </w:tcPr>
          <w:p w14:paraId="2FB1088B" w14:textId="77777777" w:rsidR="004B5C12" w:rsidRPr="001B7F57" w:rsidRDefault="004B5C12" w:rsidP="009447B8">
            <w:pPr>
              <w:jc w:val="center"/>
              <w:rPr>
                <w:b/>
                <w:color w:val="4472C4" w:themeColor="accent1"/>
                <w:u w:val="single"/>
              </w:rPr>
            </w:pPr>
          </w:p>
        </w:tc>
        <w:tc>
          <w:tcPr>
            <w:tcW w:w="304" w:type="pct"/>
            <w:vAlign w:val="center"/>
          </w:tcPr>
          <w:p w14:paraId="35A17ECF" w14:textId="77777777" w:rsidR="004B5C12" w:rsidRPr="001B7F57" w:rsidRDefault="004B5C12" w:rsidP="009447B8">
            <w:pPr>
              <w:jc w:val="center"/>
              <w:rPr>
                <w:b/>
                <w:color w:val="4472C4" w:themeColor="accent1"/>
                <w:u w:val="single"/>
              </w:rPr>
            </w:pPr>
          </w:p>
        </w:tc>
      </w:tr>
      <w:tr w:rsidR="004B5C12" w:rsidRPr="0049244A" w14:paraId="7D7CFBE1" w14:textId="77777777" w:rsidTr="009447B8">
        <w:trPr>
          <w:trHeight w:val="425"/>
        </w:trPr>
        <w:tc>
          <w:tcPr>
            <w:tcW w:w="1291" w:type="pct"/>
            <w:tcBorders>
              <w:right w:val="double" w:sz="4" w:space="0" w:color="auto"/>
            </w:tcBorders>
          </w:tcPr>
          <w:p w14:paraId="537D32BA" w14:textId="77777777" w:rsidR="004B5C12" w:rsidRPr="001B7F57" w:rsidRDefault="004B5C12" w:rsidP="009447B8">
            <w:pPr>
              <w:pStyle w:val="ListParagraph"/>
              <w:ind w:left="0"/>
              <w:rPr>
                <w:rFonts w:asciiTheme="minorHAnsi" w:hAnsiTheme="minorHAnsi"/>
                <w:color w:val="4472C4" w:themeColor="accent1"/>
                <w:u w:val="single"/>
              </w:rPr>
            </w:pPr>
            <w:r w:rsidRPr="001B7F57">
              <w:rPr>
                <w:rFonts w:asciiTheme="minorHAnsi" w:hAnsiTheme="minorHAnsi"/>
                <w:color w:val="4472C4" w:themeColor="accent1"/>
                <w:u w:val="single"/>
              </w:rPr>
              <w:t xml:space="preserve">Small </w:t>
            </w:r>
            <w:r w:rsidRPr="001B7F57">
              <w:rPr>
                <w:rFonts w:asciiTheme="minorHAnsi" w:hAnsiTheme="minorHAnsi" w:cstheme="minorHAnsi"/>
                <w:color w:val="4472C4" w:themeColor="accent1"/>
                <w:u w:val="single"/>
              </w:rPr>
              <w:t xml:space="preserve">Group Net Metering Host </w:t>
            </w:r>
            <w:r w:rsidRPr="001B7F57">
              <w:rPr>
                <w:rFonts w:asciiTheme="minorHAnsi" w:hAnsiTheme="minorHAnsi"/>
                <w:color w:val="4472C4" w:themeColor="accent1"/>
                <w:u w:val="single"/>
              </w:rPr>
              <w:t>- principal use (See Article XX)</w:t>
            </w:r>
          </w:p>
        </w:tc>
        <w:tc>
          <w:tcPr>
            <w:tcW w:w="282" w:type="pct"/>
            <w:tcBorders>
              <w:left w:val="double" w:sz="4" w:space="0" w:color="auto"/>
            </w:tcBorders>
            <w:vAlign w:val="center"/>
          </w:tcPr>
          <w:p w14:paraId="050FFB9D" w14:textId="77777777" w:rsidR="004B5C12" w:rsidRPr="001B7F57" w:rsidRDefault="004B5C12" w:rsidP="009447B8">
            <w:pPr>
              <w:rPr>
                <w:b/>
                <w:color w:val="4472C4" w:themeColor="accent1"/>
                <w:u w:val="single"/>
              </w:rPr>
            </w:pPr>
          </w:p>
        </w:tc>
        <w:tc>
          <w:tcPr>
            <w:tcW w:w="282" w:type="pct"/>
            <w:vAlign w:val="center"/>
          </w:tcPr>
          <w:p w14:paraId="51347B0B" w14:textId="77777777" w:rsidR="004B5C12" w:rsidRPr="001B7F57" w:rsidRDefault="004B5C12" w:rsidP="009447B8">
            <w:pPr>
              <w:jc w:val="center"/>
              <w:rPr>
                <w:b/>
                <w:color w:val="4472C4" w:themeColor="accent1"/>
                <w:u w:val="single"/>
              </w:rPr>
            </w:pPr>
          </w:p>
        </w:tc>
        <w:tc>
          <w:tcPr>
            <w:tcW w:w="283" w:type="pct"/>
            <w:vAlign w:val="center"/>
          </w:tcPr>
          <w:p w14:paraId="656139FF" w14:textId="77777777" w:rsidR="004B5C12" w:rsidRPr="001B7F57" w:rsidRDefault="004B5C12" w:rsidP="009447B8">
            <w:pPr>
              <w:jc w:val="center"/>
              <w:rPr>
                <w:b/>
                <w:color w:val="4472C4" w:themeColor="accent1"/>
                <w:u w:val="single"/>
              </w:rPr>
            </w:pPr>
          </w:p>
        </w:tc>
        <w:tc>
          <w:tcPr>
            <w:tcW w:w="287" w:type="pct"/>
            <w:tcBorders>
              <w:right w:val="single" w:sz="18" w:space="0" w:color="auto"/>
            </w:tcBorders>
            <w:vAlign w:val="center"/>
          </w:tcPr>
          <w:p w14:paraId="5DFAE625" w14:textId="77777777" w:rsidR="004B5C12" w:rsidRPr="001B7F57" w:rsidRDefault="004B5C12" w:rsidP="009447B8">
            <w:pPr>
              <w:jc w:val="center"/>
              <w:rPr>
                <w:b/>
                <w:color w:val="4472C4" w:themeColor="accent1"/>
                <w:u w:val="single"/>
              </w:rPr>
            </w:pPr>
          </w:p>
        </w:tc>
        <w:tc>
          <w:tcPr>
            <w:tcW w:w="285" w:type="pct"/>
            <w:tcBorders>
              <w:left w:val="single" w:sz="18" w:space="0" w:color="auto"/>
            </w:tcBorders>
            <w:vAlign w:val="center"/>
          </w:tcPr>
          <w:p w14:paraId="7D5BF29A" w14:textId="77777777" w:rsidR="004B5C12" w:rsidRPr="001B7F57" w:rsidRDefault="004B5C12" w:rsidP="009447B8">
            <w:pPr>
              <w:jc w:val="center"/>
              <w:rPr>
                <w:b/>
                <w:color w:val="4472C4" w:themeColor="accent1"/>
                <w:u w:val="single"/>
              </w:rPr>
            </w:pPr>
          </w:p>
        </w:tc>
        <w:tc>
          <w:tcPr>
            <w:tcW w:w="283" w:type="pct"/>
            <w:vAlign w:val="center"/>
          </w:tcPr>
          <w:p w14:paraId="4B7703FE" w14:textId="77777777" w:rsidR="004B5C12" w:rsidRPr="001B7F57" w:rsidRDefault="004B5C12" w:rsidP="009447B8">
            <w:pPr>
              <w:jc w:val="center"/>
              <w:rPr>
                <w:b/>
                <w:color w:val="4472C4" w:themeColor="accent1"/>
                <w:u w:val="single"/>
              </w:rPr>
            </w:pPr>
          </w:p>
        </w:tc>
        <w:tc>
          <w:tcPr>
            <w:tcW w:w="284" w:type="pct"/>
            <w:vAlign w:val="center"/>
          </w:tcPr>
          <w:p w14:paraId="2FE0FF77" w14:textId="77777777" w:rsidR="004B5C12" w:rsidRPr="001B7F57" w:rsidRDefault="004B5C12" w:rsidP="009447B8">
            <w:pPr>
              <w:jc w:val="center"/>
              <w:rPr>
                <w:b/>
                <w:color w:val="4472C4" w:themeColor="accent1"/>
                <w:u w:val="single"/>
              </w:rPr>
            </w:pPr>
          </w:p>
        </w:tc>
        <w:tc>
          <w:tcPr>
            <w:tcW w:w="284" w:type="pct"/>
            <w:vAlign w:val="center"/>
          </w:tcPr>
          <w:p w14:paraId="65B54A0D" w14:textId="77777777" w:rsidR="004B5C12" w:rsidRPr="001B7F57" w:rsidRDefault="004B5C12" w:rsidP="009447B8">
            <w:pPr>
              <w:jc w:val="center"/>
              <w:rPr>
                <w:b/>
                <w:color w:val="4472C4" w:themeColor="accent1"/>
                <w:u w:val="single"/>
              </w:rPr>
            </w:pPr>
          </w:p>
        </w:tc>
        <w:tc>
          <w:tcPr>
            <w:tcW w:w="284" w:type="pct"/>
            <w:tcBorders>
              <w:right w:val="single" w:sz="18" w:space="0" w:color="auto"/>
            </w:tcBorders>
            <w:vAlign w:val="center"/>
          </w:tcPr>
          <w:p w14:paraId="76E6BC0C" w14:textId="77777777" w:rsidR="004B5C12" w:rsidRPr="001B7F57" w:rsidRDefault="004B5C12" w:rsidP="009447B8">
            <w:pPr>
              <w:jc w:val="center"/>
              <w:rPr>
                <w:b/>
                <w:color w:val="4472C4" w:themeColor="accent1"/>
                <w:u w:val="single"/>
              </w:rPr>
            </w:pPr>
          </w:p>
        </w:tc>
        <w:tc>
          <w:tcPr>
            <w:tcW w:w="283" w:type="pct"/>
            <w:tcBorders>
              <w:left w:val="single" w:sz="18" w:space="0" w:color="auto"/>
            </w:tcBorders>
            <w:vAlign w:val="center"/>
          </w:tcPr>
          <w:p w14:paraId="0CC904B6" w14:textId="77777777" w:rsidR="004B5C12" w:rsidRPr="001B7F57" w:rsidRDefault="004B5C12" w:rsidP="009447B8">
            <w:pPr>
              <w:jc w:val="center"/>
              <w:rPr>
                <w:b/>
                <w:color w:val="4472C4" w:themeColor="accent1"/>
                <w:u w:val="single"/>
              </w:rPr>
            </w:pPr>
          </w:p>
        </w:tc>
        <w:tc>
          <w:tcPr>
            <w:tcW w:w="308" w:type="pct"/>
            <w:vAlign w:val="center"/>
          </w:tcPr>
          <w:p w14:paraId="16C66069" w14:textId="77777777" w:rsidR="004B5C12" w:rsidRPr="001B7F57" w:rsidRDefault="004B5C12" w:rsidP="009447B8">
            <w:pPr>
              <w:jc w:val="center"/>
              <w:rPr>
                <w:b/>
                <w:color w:val="4472C4" w:themeColor="accent1"/>
                <w:u w:val="single"/>
              </w:rPr>
            </w:pPr>
          </w:p>
        </w:tc>
        <w:tc>
          <w:tcPr>
            <w:tcW w:w="260" w:type="pct"/>
            <w:vAlign w:val="center"/>
          </w:tcPr>
          <w:p w14:paraId="536D48A7" w14:textId="77777777" w:rsidR="004B5C12" w:rsidRPr="001B7F57" w:rsidRDefault="004B5C12" w:rsidP="009447B8">
            <w:pPr>
              <w:jc w:val="center"/>
              <w:rPr>
                <w:b/>
                <w:color w:val="4472C4" w:themeColor="accent1"/>
                <w:u w:val="single"/>
              </w:rPr>
            </w:pPr>
          </w:p>
        </w:tc>
        <w:tc>
          <w:tcPr>
            <w:tcW w:w="304" w:type="pct"/>
            <w:vAlign w:val="center"/>
          </w:tcPr>
          <w:p w14:paraId="22890477" w14:textId="77777777" w:rsidR="004B5C12" w:rsidRPr="001B7F57" w:rsidRDefault="004B5C12" w:rsidP="009447B8">
            <w:pPr>
              <w:jc w:val="center"/>
              <w:rPr>
                <w:b/>
                <w:color w:val="4472C4" w:themeColor="accent1"/>
                <w:u w:val="single"/>
              </w:rPr>
            </w:pPr>
          </w:p>
        </w:tc>
      </w:tr>
      <w:tr w:rsidR="004B5C12" w:rsidRPr="0049244A" w14:paraId="6C1CE51E" w14:textId="77777777" w:rsidTr="009447B8">
        <w:trPr>
          <w:trHeight w:val="425"/>
        </w:trPr>
        <w:tc>
          <w:tcPr>
            <w:tcW w:w="1291" w:type="pct"/>
            <w:tcBorders>
              <w:right w:val="double" w:sz="4" w:space="0" w:color="auto"/>
            </w:tcBorders>
          </w:tcPr>
          <w:p w14:paraId="3ED7DED9" w14:textId="77777777" w:rsidR="004B5C12" w:rsidRPr="001B7F57" w:rsidRDefault="004B5C12" w:rsidP="004B5C12">
            <w:pPr>
              <w:pStyle w:val="ListParagraph"/>
              <w:numPr>
                <w:ilvl w:val="0"/>
                <w:numId w:val="8"/>
              </w:numPr>
              <w:spacing w:after="0" w:line="240" w:lineRule="auto"/>
              <w:contextualSpacing w:val="0"/>
              <w:rPr>
                <w:rFonts w:asciiTheme="minorHAnsi" w:hAnsiTheme="minorHAnsi"/>
                <w:color w:val="4472C4" w:themeColor="accent1"/>
                <w:u w:val="single"/>
              </w:rPr>
            </w:pPr>
            <w:r w:rsidRPr="001B7F57">
              <w:rPr>
                <w:rFonts w:asciiTheme="minorHAnsi" w:hAnsiTheme="minorHAnsi"/>
                <w:color w:val="4472C4" w:themeColor="accent1"/>
                <w:u w:val="single"/>
              </w:rPr>
              <w:t>Building-mounted</w:t>
            </w:r>
          </w:p>
        </w:tc>
        <w:tc>
          <w:tcPr>
            <w:tcW w:w="282" w:type="pct"/>
            <w:tcBorders>
              <w:left w:val="double" w:sz="4" w:space="0" w:color="auto"/>
            </w:tcBorders>
            <w:vAlign w:val="center"/>
          </w:tcPr>
          <w:p w14:paraId="7A8D0B43" w14:textId="2CBA5F23" w:rsidR="004B5C12" w:rsidRPr="001B7F57" w:rsidRDefault="00210999" w:rsidP="009447B8">
            <w:pPr>
              <w:rPr>
                <w:b/>
                <w:color w:val="4472C4" w:themeColor="accent1"/>
                <w:u w:val="single"/>
              </w:rPr>
            </w:pPr>
            <w:r>
              <w:rPr>
                <w:b/>
                <w:color w:val="4472C4" w:themeColor="accent1"/>
                <w:u w:val="single"/>
              </w:rPr>
              <w:t>P</w:t>
            </w:r>
          </w:p>
        </w:tc>
        <w:tc>
          <w:tcPr>
            <w:tcW w:w="282" w:type="pct"/>
            <w:vAlign w:val="center"/>
          </w:tcPr>
          <w:p w14:paraId="0FF600C7" w14:textId="37942A12" w:rsidR="004B5C12" w:rsidRPr="001B7F57" w:rsidRDefault="00210999" w:rsidP="009447B8">
            <w:pPr>
              <w:jc w:val="center"/>
              <w:rPr>
                <w:b/>
                <w:color w:val="4472C4" w:themeColor="accent1"/>
                <w:u w:val="single"/>
              </w:rPr>
            </w:pPr>
            <w:r>
              <w:rPr>
                <w:b/>
                <w:color w:val="4472C4" w:themeColor="accent1"/>
                <w:u w:val="single"/>
              </w:rPr>
              <w:t>P</w:t>
            </w:r>
          </w:p>
        </w:tc>
        <w:tc>
          <w:tcPr>
            <w:tcW w:w="283" w:type="pct"/>
            <w:vAlign w:val="center"/>
          </w:tcPr>
          <w:p w14:paraId="6B889A72" w14:textId="17F4D28A" w:rsidR="004B5C12" w:rsidRPr="001B7F57" w:rsidRDefault="00210999" w:rsidP="009447B8">
            <w:pPr>
              <w:jc w:val="center"/>
              <w:rPr>
                <w:b/>
                <w:color w:val="4472C4" w:themeColor="accent1"/>
                <w:u w:val="single"/>
              </w:rPr>
            </w:pPr>
            <w:r>
              <w:rPr>
                <w:b/>
                <w:color w:val="4472C4" w:themeColor="accent1"/>
                <w:u w:val="single"/>
              </w:rPr>
              <w:t>P</w:t>
            </w:r>
          </w:p>
        </w:tc>
        <w:tc>
          <w:tcPr>
            <w:tcW w:w="287" w:type="pct"/>
            <w:tcBorders>
              <w:right w:val="single" w:sz="18" w:space="0" w:color="auto"/>
            </w:tcBorders>
            <w:vAlign w:val="center"/>
          </w:tcPr>
          <w:p w14:paraId="729A048B" w14:textId="267496C7" w:rsidR="004B5C12" w:rsidRPr="001B7F57" w:rsidRDefault="00210999" w:rsidP="009447B8">
            <w:pPr>
              <w:jc w:val="center"/>
              <w:rPr>
                <w:b/>
                <w:color w:val="4472C4" w:themeColor="accent1"/>
                <w:u w:val="single"/>
              </w:rPr>
            </w:pPr>
            <w:r>
              <w:rPr>
                <w:b/>
                <w:color w:val="4472C4" w:themeColor="accent1"/>
                <w:u w:val="single"/>
              </w:rPr>
              <w:t>P</w:t>
            </w:r>
          </w:p>
        </w:tc>
        <w:tc>
          <w:tcPr>
            <w:tcW w:w="285" w:type="pct"/>
            <w:tcBorders>
              <w:left w:val="single" w:sz="18" w:space="0" w:color="auto"/>
            </w:tcBorders>
            <w:vAlign w:val="center"/>
          </w:tcPr>
          <w:p w14:paraId="19AD2F86"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vAlign w:val="center"/>
          </w:tcPr>
          <w:p w14:paraId="2404F83B"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6DB3AD06"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2101A4DC"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tcBorders>
              <w:right w:val="single" w:sz="18" w:space="0" w:color="auto"/>
            </w:tcBorders>
            <w:vAlign w:val="center"/>
          </w:tcPr>
          <w:p w14:paraId="571E5221"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tcBorders>
              <w:left w:val="single" w:sz="18" w:space="0" w:color="auto"/>
            </w:tcBorders>
            <w:vAlign w:val="center"/>
          </w:tcPr>
          <w:p w14:paraId="41419D65"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8" w:type="pct"/>
            <w:vAlign w:val="center"/>
          </w:tcPr>
          <w:p w14:paraId="0D400AA1"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60" w:type="pct"/>
            <w:vAlign w:val="center"/>
          </w:tcPr>
          <w:p w14:paraId="6CE47B48"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4" w:type="pct"/>
            <w:vAlign w:val="center"/>
          </w:tcPr>
          <w:p w14:paraId="145A6D39" w14:textId="77777777" w:rsidR="004B5C12" w:rsidRPr="001B7F57" w:rsidRDefault="004B5C12" w:rsidP="009447B8">
            <w:pPr>
              <w:jc w:val="center"/>
              <w:rPr>
                <w:b/>
                <w:color w:val="4472C4" w:themeColor="accent1"/>
                <w:u w:val="single"/>
              </w:rPr>
            </w:pPr>
            <w:r w:rsidRPr="001B7F57">
              <w:rPr>
                <w:b/>
                <w:color w:val="4472C4" w:themeColor="accent1"/>
                <w:u w:val="single"/>
              </w:rPr>
              <w:t>P</w:t>
            </w:r>
          </w:p>
        </w:tc>
      </w:tr>
      <w:tr w:rsidR="004B5C12" w:rsidRPr="0049244A" w14:paraId="65A2561E" w14:textId="77777777" w:rsidTr="009447B8">
        <w:trPr>
          <w:trHeight w:val="425"/>
        </w:trPr>
        <w:tc>
          <w:tcPr>
            <w:tcW w:w="1291" w:type="pct"/>
            <w:tcBorders>
              <w:right w:val="double" w:sz="4" w:space="0" w:color="auto"/>
            </w:tcBorders>
          </w:tcPr>
          <w:p w14:paraId="2B8E9FB1" w14:textId="77777777" w:rsidR="004B5C12" w:rsidRPr="001B7F57" w:rsidRDefault="004B5C12" w:rsidP="004B5C12">
            <w:pPr>
              <w:pStyle w:val="ListParagraph"/>
              <w:numPr>
                <w:ilvl w:val="0"/>
                <w:numId w:val="8"/>
              </w:numPr>
              <w:spacing w:after="0" w:line="240" w:lineRule="auto"/>
              <w:contextualSpacing w:val="0"/>
              <w:rPr>
                <w:rFonts w:asciiTheme="minorHAnsi" w:hAnsiTheme="minorHAnsi"/>
                <w:color w:val="4472C4" w:themeColor="accent1"/>
                <w:u w:val="single"/>
              </w:rPr>
            </w:pPr>
            <w:r w:rsidRPr="001B7F57">
              <w:rPr>
                <w:rFonts w:asciiTheme="minorHAnsi" w:hAnsiTheme="minorHAnsi"/>
                <w:color w:val="4472C4" w:themeColor="accent1"/>
                <w:u w:val="single"/>
              </w:rPr>
              <w:t>Freestanding</w:t>
            </w:r>
          </w:p>
        </w:tc>
        <w:tc>
          <w:tcPr>
            <w:tcW w:w="282" w:type="pct"/>
            <w:tcBorders>
              <w:left w:val="double" w:sz="4" w:space="0" w:color="auto"/>
            </w:tcBorders>
            <w:vAlign w:val="center"/>
          </w:tcPr>
          <w:p w14:paraId="19912371" w14:textId="77777777" w:rsidR="004B5C12" w:rsidRPr="001B7F57" w:rsidRDefault="004B5C12" w:rsidP="009447B8">
            <w:pPr>
              <w:rPr>
                <w:b/>
                <w:color w:val="4472C4" w:themeColor="accent1"/>
                <w:u w:val="single"/>
              </w:rPr>
            </w:pPr>
            <w:r w:rsidRPr="001B7F57">
              <w:rPr>
                <w:b/>
                <w:color w:val="4472C4" w:themeColor="accent1"/>
                <w:u w:val="single"/>
              </w:rPr>
              <w:t>X</w:t>
            </w:r>
          </w:p>
        </w:tc>
        <w:tc>
          <w:tcPr>
            <w:tcW w:w="282" w:type="pct"/>
            <w:vAlign w:val="center"/>
          </w:tcPr>
          <w:p w14:paraId="70096D3B"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34B05FB4"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7" w:type="pct"/>
            <w:tcBorders>
              <w:right w:val="single" w:sz="18" w:space="0" w:color="auto"/>
            </w:tcBorders>
            <w:vAlign w:val="center"/>
          </w:tcPr>
          <w:p w14:paraId="6D544C30"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5" w:type="pct"/>
            <w:tcBorders>
              <w:left w:val="single" w:sz="18" w:space="0" w:color="auto"/>
            </w:tcBorders>
            <w:vAlign w:val="center"/>
          </w:tcPr>
          <w:p w14:paraId="55FBB86F"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34DF62DA"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vAlign w:val="center"/>
          </w:tcPr>
          <w:p w14:paraId="78E00794"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vAlign w:val="center"/>
          </w:tcPr>
          <w:p w14:paraId="458FB66C"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tcBorders>
              <w:right w:val="single" w:sz="18" w:space="0" w:color="auto"/>
            </w:tcBorders>
            <w:vAlign w:val="center"/>
          </w:tcPr>
          <w:p w14:paraId="3556183D"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tcBorders>
              <w:left w:val="single" w:sz="18" w:space="0" w:color="auto"/>
            </w:tcBorders>
            <w:vAlign w:val="center"/>
          </w:tcPr>
          <w:p w14:paraId="42ECAF2E"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8" w:type="pct"/>
            <w:vAlign w:val="center"/>
          </w:tcPr>
          <w:p w14:paraId="0D095B72"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60" w:type="pct"/>
            <w:vAlign w:val="center"/>
          </w:tcPr>
          <w:p w14:paraId="3B05CED3"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4" w:type="pct"/>
            <w:vAlign w:val="center"/>
          </w:tcPr>
          <w:p w14:paraId="68DC4725" w14:textId="77777777" w:rsidR="004B5C12" w:rsidRPr="001B7F57" w:rsidRDefault="004B5C12" w:rsidP="009447B8">
            <w:pPr>
              <w:jc w:val="center"/>
              <w:rPr>
                <w:b/>
                <w:color w:val="4472C4" w:themeColor="accent1"/>
                <w:u w:val="single"/>
              </w:rPr>
            </w:pPr>
            <w:r w:rsidRPr="001B7F57">
              <w:rPr>
                <w:b/>
                <w:color w:val="4472C4" w:themeColor="accent1"/>
                <w:u w:val="single"/>
              </w:rPr>
              <w:t>P</w:t>
            </w:r>
          </w:p>
        </w:tc>
      </w:tr>
      <w:tr w:rsidR="004B5C12" w:rsidRPr="0049244A" w14:paraId="4A13127E" w14:textId="77777777" w:rsidTr="009447B8">
        <w:trPr>
          <w:trHeight w:val="425"/>
        </w:trPr>
        <w:tc>
          <w:tcPr>
            <w:tcW w:w="1291" w:type="pct"/>
            <w:tcBorders>
              <w:right w:val="double" w:sz="4" w:space="0" w:color="auto"/>
            </w:tcBorders>
          </w:tcPr>
          <w:p w14:paraId="1FCEAA85" w14:textId="77777777" w:rsidR="004B5C12" w:rsidRPr="001B7F57" w:rsidRDefault="004B5C12" w:rsidP="009447B8">
            <w:pPr>
              <w:pStyle w:val="ListParagraph"/>
              <w:ind w:left="0"/>
              <w:rPr>
                <w:rFonts w:asciiTheme="minorHAnsi" w:hAnsiTheme="minorHAnsi"/>
                <w:color w:val="4472C4" w:themeColor="accent1"/>
                <w:u w:val="single"/>
              </w:rPr>
            </w:pPr>
            <w:r w:rsidRPr="001B7F57">
              <w:rPr>
                <w:rFonts w:asciiTheme="minorHAnsi" w:hAnsiTheme="minorHAnsi"/>
                <w:color w:val="4472C4" w:themeColor="accent1"/>
                <w:u w:val="single"/>
              </w:rPr>
              <w:t xml:space="preserve">Large </w:t>
            </w:r>
            <w:r w:rsidRPr="001B7F57">
              <w:rPr>
                <w:rFonts w:asciiTheme="minorHAnsi" w:hAnsiTheme="minorHAnsi" w:cstheme="minorHAnsi"/>
                <w:color w:val="4472C4" w:themeColor="accent1"/>
                <w:u w:val="single"/>
              </w:rPr>
              <w:t>Group Net Metering Host</w:t>
            </w:r>
            <w:r w:rsidRPr="001B7F57">
              <w:rPr>
                <w:rFonts w:ascii="Times New Roman" w:hAnsi="Times New Roman"/>
                <w:color w:val="4472C4" w:themeColor="accent1"/>
                <w:sz w:val="25"/>
                <w:szCs w:val="25"/>
                <w:u w:val="single"/>
              </w:rPr>
              <w:t xml:space="preserve"> </w:t>
            </w:r>
            <w:r w:rsidRPr="001B7F57">
              <w:rPr>
                <w:rFonts w:asciiTheme="minorHAnsi" w:hAnsiTheme="minorHAnsi"/>
                <w:color w:val="4472C4" w:themeColor="accent1"/>
                <w:u w:val="single"/>
              </w:rPr>
              <w:t>- principal use (See Article XX)</w:t>
            </w:r>
          </w:p>
        </w:tc>
        <w:tc>
          <w:tcPr>
            <w:tcW w:w="282" w:type="pct"/>
            <w:tcBorders>
              <w:left w:val="double" w:sz="4" w:space="0" w:color="auto"/>
            </w:tcBorders>
            <w:vAlign w:val="center"/>
          </w:tcPr>
          <w:p w14:paraId="56708030" w14:textId="77777777" w:rsidR="004B5C12" w:rsidRPr="001B7F57" w:rsidRDefault="004B5C12" w:rsidP="009447B8">
            <w:pPr>
              <w:rPr>
                <w:b/>
                <w:color w:val="4472C4" w:themeColor="accent1"/>
                <w:u w:val="single"/>
              </w:rPr>
            </w:pPr>
          </w:p>
        </w:tc>
        <w:tc>
          <w:tcPr>
            <w:tcW w:w="282" w:type="pct"/>
            <w:vAlign w:val="center"/>
          </w:tcPr>
          <w:p w14:paraId="34F2A368" w14:textId="77777777" w:rsidR="004B5C12" w:rsidRPr="001B7F57" w:rsidRDefault="004B5C12" w:rsidP="009447B8">
            <w:pPr>
              <w:jc w:val="center"/>
              <w:rPr>
                <w:b/>
                <w:color w:val="4472C4" w:themeColor="accent1"/>
                <w:u w:val="single"/>
              </w:rPr>
            </w:pPr>
          </w:p>
        </w:tc>
        <w:tc>
          <w:tcPr>
            <w:tcW w:w="283" w:type="pct"/>
            <w:vAlign w:val="center"/>
          </w:tcPr>
          <w:p w14:paraId="5B738AD2" w14:textId="77777777" w:rsidR="004B5C12" w:rsidRPr="001B7F57" w:rsidRDefault="004B5C12" w:rsidP="009447B8">
            <w:pPr>
              <w:jc w:val="center"/>
              <w:rPr>
                <w:b/>
                <w:color w:val="4472C4" w:themeColor="accent1"/>
                <w:u w:val="single"/>
              </w:rPr>
            </w:pPr>
          </w:p>
        </w:tc>
        <w:tc>
          <w:tcPr>
            <w:tcW w:w="287" w:type="pct"/>
            <w:tcBorders>
              <w:right w:val="single" w:sz="18" w:space="0" w:color="auto"/>
            </w:tcBorders>
            <w:vAlign w:val="center"/>
          </w:tcPr>
          <w:p w14:paraId="7AA18369" w14:textId="77777777" w:rsidR="004B5C12" w:rsidRPr="001B7F57" w:rsidRDefault="004B5C12" w:rsidP="009447B8">
            <w:pPr>
              <w:jc w:val="center"/>
              <w:rPr>
                <w:b/>
                <w:color w:val="4472C4" w:themeColor="accent1"/>
                <w:u w:val="single"/>
              </w:rPr>
            </w:pPr>
          </w:p>
        </w:tc>
        <w:tc>
          <w:tcPr>
            <w:tcW w:w="285" w:type="pct"/>
            <w:tcBorders>
              <w:left w:val="single" w:sz="18" w:space="0" w:color="auto"/>
            </w:tcBorders>
            <w:vAlign w:val="center"/>
          </w:tcPr>
          <w:p w14:paraId="213B4D48" w14:textId="77777777" w:rsidR="004B5C12" w:rsidRPr="001B7F57" w:rsidRDefault="004B5C12" w:rsidP="009447B8">
            <w:pPr>
              <w:jc w:val="center"/>
              <w:rPr>
                <w:b/>
                <w:color w:val="4472C4" w:themeColor="accent1"/>
                <w:u w:val="single"/>
              </w:rPr>
            </w:pPr>
          </w:p>
        </w:tc>
        <w:tc>
          <w:tcPr>
            <w:tcW w:w="283" w:type="pct"/>
            <w:vAlign w:val="center"/>
          </w:tcPr>
          <w:p w14:paraId="7B1079A0" w14:textId="77777777" w:rsidR="004B5C12" w:rsidRPr="001B7F57" w:rsidRDefault="004B5C12" w:rsidP="009447B8">
            <w:pPr>
              <w:jc w:val="center"/>
              <w:rPr>
                <w:b/>
                <w:color w:val="4472C4" w:themeColor="accent1"/>
                <w:u w:val="single"/>
              </w:rPr>
            </w:pPr>
          </w:p>
        </w:tc>
        <w:tc>
          <w:tcPr>
            <w:tcW w:w="284" w:type="pct"/>
            <w:vAlign w:val="center"/>
          </w:tcPr>
          <w:p w14:paraId="4216F15A" w14:textId="77777777" w:rsidR="004B5C12" w:rsidRPr="001B7F57" w:rsidRDefault="004B5C12" w:rsidP="009447B8">
            <w:pPr>
              <w:jc w:val="center"/>
              <w:rPr>
                <w:b/>
                <w:color w:val="4472C4" w:themeColor="accent1"/>
                <w:u w:val="single"/>
              </w:rPr>
            </w:pPr>
          </w:p>
        </w:tc>
        <w:tc>
          <w:tcPr>
            <w:tcW w:w="284" w:type="pct"/>
            <w:vAlign w:val="center"/>
          </w:tcPr>
          <w:p w14:paraId="0535D7D9" w14:textId="77777777" w:rsidR="004B5C12" w:rsidRPr="001B7F57" w:rsidRDefault="004B5C12" w:rsidP="009447B8">
            <w:pPr>
              <w:jc w:val="center"/>
              <w:rPr>
                <w:b/>
                <w:color w:val="4472C4" w:themeColor="accent1"/>
                <w:u w:val="single"/>
              </w:rPr>
            </w:pPr>
          </w:p>
        </w:tc>
        <w:tc>
          <w:tcPr>
            <w:tcW w:w="284" w:type="pct"/>
            <w:tcBorders>
              <w:right w:val="single" w:sz="18" w:space="0" w:color="auto"/>
            </w:tcBorders>
            <w:vAlign w:val="center"/>
          </w:tcPr>
          <w:p w14:paraId="7DA6649D" w14:textId="77777777" w:rsidR="004B5C12" w:rsidRPr="001B7F57" w:rsidRDefault="004B5C12" w:rsidP="009447B8">
            <w:pPr>
              <w:jc w:val="center"/>
              <w:rPr>
                <w:b/>
                <w:color w:val="4472C4" w:themeColor="accent1"/>
                <w:u w:val="single"/>
              </w:rPr>
            </w:pPr>
          </w:p>
        </w:tc>
        <w:tc>
          <w:tcPr>
            <w:tcW w:w="283" w:type="pct"/>
            <w:tcBorders>
              <w:left w:val="single" w:sz="18" w:space="0" w:color="auto"/>
            </w:tcBorders>
            <w:vAlign w:val="center"/>
          </w:tcPr>
          <w:p w14:paraId="736ED17E" w14:textId="77777777" w:rsidR="004B5C12" w:rsidRPr="001B7F57" w:rsidRDefault="004B5C12" w:rsidP="009447B8">
            <w:pPr>
              <w:jc w:val="center"/>
              <w:rPr>
                <w:b/>
                <w:color w:val="4472C4" w:themeColor="accent1"/>
                <w:u w:val="single"/>
              </w:rPr>
            </w:pPr>
          </w:p>
        </w:tc>
        <w:tc>
          <w:tcPr>
            <w:tcW w:w="308" w:type="pct"/>
            <w:vAlign w:val="center"/>
          </w:tcPr>
          <w:p w14:paraId="7D67D5B7" w14:textId="77777777" w:rsidR="004B5C12" w:rsidRPr="001B7F57" w:rsidRDefault="004B5C12" w:rsidP="009447B8">
            <w:pPr>
              <w:jc w:val="center"/>
              <w:rPr>
                <w:b/>
                <w:color w:val="4472C4" w:themeColor="accent1"/>
                <w:u w:val="single"/>
              </w:rPr>
            </w:pPr>
          </w:p>
        </w:tc>
        <w:tc>
          <w:tcPr>
            <w:tcW w:w="260" w:type="pct"/>
            <w:vAlign w:val="center"/>
          </w:tcPr>
          <w:p w14:paraId="137ED2EE" w14:textId="77777777" w:rsidR="004B5C12" w:rsidRPr="001B7F57" w:rsidRDefault="004B5C12" w:rsidP="009447B8">
            <w:pPr>
              <w:jc w:val="center"/>
              <w:rPr>
                <w:b/>
                <w:color w:val="4472C4" w:themeColor="accent1"/>
                <w:u w:val="single"/>
              </w:rPr>
            </w:pPr>
          </w:p>
        </w:tc>
        <w:tc>
          <w:tcPr>
            <w:tcW w:w="304" w:type="pct"/>
            <w:vAlign w:val="center"/>
          </w:tcPr>
          <w:p w14:paraId="036EBB46" w14:textId="77777777" w:rsidR="004B5C12" w:rsidRPr="001B7F57" w:rsidRDefault="004B5C12" w:rsidP="009447B8">
            <w:pPr>
              <w:jc w:val="center"/>
              <w:rPr>
                <w:b/>
                <w:color w:val="4472C4" w:themeColor="accent1"/>
                <w:u w:val="single"/>
              </w:rPr>
            </w:pPr>
          </w:p>
        </w:tc>
      </w:tr>
      <w:tr w:rsidR="004B5C12" w:rsidRPr="0049244A" w14:paraId="54CEFAFF" w14:textId="77777777" w:rsidTr="009447B8">
        <w:trPr>
          <w:trHeight w:val="425"/>
        </w:trPr>
        <w:tc>
          <w:tcPr>
            <w:tcW w:w="1291" w:type="pct"/>
            <w:tcBorders>
              <w:right w:val="double" w:sz="4" w:space="0" w:color="auto"/>
            </w:tcBorders>
          </w:tcPr>
          <w:p w14:paraId="58B9501A" w14:textId="77777777" w:rsidR="004B5C12" w:rsidRPr="001B7F57" w:rsidRDefault="004B5C12" w:rsidP="004B5C12">
            <w:pPr>
              <w:pStyle w:val="ListParagraph"/>
              <w:numPr>
                <w:ilvl w:val="0"/>
                <w:numId w:val="8"/>
              </w:numPr>
              <w:spacing w:after="0" w:line="240" w:lineRule="auto"/>
              <w:contextualSpacing w:val="0"/>
              <w:rPr>
                <w:rFonts w:asciiTheme="minorHAnsi" w:hAnsiTheme="minorHAnsi"/>
                <w:color w:val="4472C4" w:themeColor="accent1"/>
                <w:u w:val="single"/>
              </w:rPr>
            </w:pPr>
            <w:r w:rsidRPr="001B7F57">
              <w:rPr>
                <w:rFonts w:asciiTheme="minorHAnsi" w:hAnsiTheme="minorHAnsi"/>
                <w:color w:val="4472C4" w:themeColor="accent1"/>
                <w:u w:val="single"/>
              </w:rPr>
              <w:t>Building-mounted</w:t>
            </w:r>
          </w:p>
        </w:tc>
        <w:tc>
          <w:tcPr>
            <w:tcW w:w="282" w:type="pct"/>
            <w:tcBorders>
              <w:left w:val="double" w:sz="4" w:space="0" w:color="auto"/>
            </w:tcBorders>
            <w:vAlign w:val="center"/>
          </w:tcPr>
          <w:p w14:paraId="5842D79A" w14:textId="77777777" w:rsidR="004B5C12" w:rsidRPr="001B7F57" w:rsidRDefault="004B5C12" w:rsidP="009447B8">
            <w:pPr>
              <w:rPr>
                <w:b/>
                <w:color w:val="4472C4" w:themeColor="accent1"/>
                <w:u w:val="single"/>
              </w:rPr>
            </w:pPr>
            <w:r w:rsidRPr="001B7F57">
              <w:rPr>
                <w:b/>
                <w:color w:val="4472C4" w:themeColor="accent1"/>
                <w:u w:val="single"/>
              </w:rPr>
              <w:t>X</w:t>
            </w:r>
          </w:p>
        </w:tc>
        <w:tc>
          <w:tcPr>
            <w:tcW w:w="282" w:type="pct"/>
            <w:vAlign w:val="center"/>
          </w:tcPr>
          <w:p w14:paraId="175606D7"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5A511C0D"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7" w:type="pct"/>
            <w:tcBorders>
              <w:right w:val="single" w:sz="18" w:space="0" w:color="auto"/>
            </w:tcBorders>
            <w:vAlign w:val="center"/>
          </w:tcPr>
          <w:p w14:paraId="74AE1688"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5" w:type="pct"/>
            <w:tcBorders>
              <w:left w:val="single" w:sz="18" w:space="0" w:color="auto"/>
            </w:tcBorders>
            <w:vAlign w:val="center"/>
          </w:tcPr>
          <w:p w14:paraId="55A34A41"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74647A59"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vAlign w:val="center"/>
          </w:tcPr>
          <w:p w14:paraId="4DB6A743"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vAlign w:val="center"/>
          </w:tcPr>
          <w:p w14:paraId="733B83C9"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tcBorders>
              <w:right w:val="single" w:sz="18" w:space="0" w:color="auto"/>
            </w:tcBorders>
            <w:vAlign w:val="center"/>
          </w:tcPr>
          <w:p w14:paraId="4D3BBD0A"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tcBorders>
              <w:left w:val="single" w:sz="18" w:space="0" w:color="auto"/>
            </w:tcBorders>
            <w:vAlign w:val="center"/>
          </w:tcPr>
          <w:p w14:paraId="07D00EC4"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8" w:type="pct"/>
            <w:vAlign w:val="center"/>
          </w:tcPr>
          <w:p w14:paraId="53D3186B"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60" w:type="pct"/>
            <w:vAlign w:val="center"/>
          </w:tcPr>
          <w:p w14:paraId="645CA8F2"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4" w:type="pct"/>
            <w:vAlign w:val="center"/>
          </w:tcPr>
          <w:p w14:paraId="51CA3137" w14:textId="77777777" w:rsidR="004B5C12" w:rsidRPr="001B7F57" w:rsidRDefault="004B5C12" w:rsidP="009447B8">
            <w:pPr>
              <w:jc w:val="center"/>
              <w:rPr>
                <w:b/>
                <w:color w:val="4472C4" w:themeColor="accent1"/>
                <w:u w:val="single"/>
              </w:rPr>
            </w:pPr>
            <w:r w:rsidRPr="001B7F57">
              <w:rPr>
                <w:b/>
                <w:color w:val="4472C4" w:themeColor="accent1"/>
                <w:u w:val="single"/>
              </w:rPr>
              <w:t>P</w:t>
            </w:r>
          </w:p>
        </w:tc>
      </w:tr>
      <w:tr w:rsidR="004B5C12" w:rsidRPr="0049244A" w14:paraId="7F58F49F" w14:textId="77777777" w:rsidTr="009447B8">
        <w:trPr>
          <w:trHeight w:val="425"/>
        </w:trPr>
        <w:tc>
          <w:tcPr>
            <w:tcW w:w="1291" w:type="pct"/>
            <w:tcBorders>
              <w:right w:val="double" w:sz="4" w:space="0" w:color="auto"/>
            </w:tcBorders>
          </w:tcPr>
          <w:p w14:paraId="237FF7AF" w14:textId="77777777" w:rsidR="004B5C12" w:rsidRPr="001B7F57" w:rsidRDefault="004B5C12" w:rsidP="004B5C12">
            <w:pPr>
              <w:pStyle w:val="ListParagraph"/>
              <w:numPr>
                <w:ilvl w:val="0"/>
                <w:numId w:val="8"/>
              </w:numPr>
              <w:spacing w:after="0" w:line="240" w:lineRule="auto"/>
              <w:contextualSpacing w:val="0"/>
              <w:rPr>
                <w:rFonts w:asciiTheme="minorHAnsi" w:hAnsiTheme="minorHAnsi"/>
                <w:color w:val="4472C4" w:themeColor="accent1"/>
                <w:u w:val="single"/>
              </w:rPr>
            </w:pPr>
            <w:r w:rsidRPr="001B7F57">
              <w:rPr>
                <w:rFonts w:asciiTheme="minorHAnsi" w:hAnsiTheme="minorHAnsi"/>
                <w:color w:val="4472C4" w:themeColor="accent1"/>
                <w:u w:val="single"/>
              </w:rPr>
              <w:lastRenderedPageBreak/>
              <w:t>Freestanding</w:t>
            </w:r>
          </w:p>
        </w:tc>
        <w:tc>
          <w:tcPr>
            <w:tcW w:w="282" w:type="pct"/>
            <w:tcBorders>
              <w:left w:val="double" w:sz="4" w:space="0" w:color="auto"/>
            </w:tcBorders>
            <w:vAlign w:val="center"/>
          </w:tcPr>
          <w:p w14:paraId="7F4DAF64" w14:textId="77777777" w:rsidR="004B5C12" w:rsidRPr="001B7F57" w:rsidRDefault="004B5C12" w:rsidP="009447B8">
            <w:pPr>
              <w:rPr>
                <w:b/>
                <w:color w:val="4472C4" w:themeColor="accent1"/>
                <w:u w:val="single"/>
              </w:rPr>
            </w:pPr>
            <w:r w:rsidRPr="001B7F57">
              <w:rPr>
                <w:b/>
                <w:color w:val="4472C4" w:themeColor="accent1"/>
                <w:u w:val="single"/>
              </w:rPr>
              <w:t>X</w:t>
            </w:r>
          </w:p>
        </w:tc>
        <w:tc>
          <w:tcPr>
            <w:tcW w:w="282" w:type="pct"/>
            <w:vAlign w:val="center"/>
          </w:tcPr>
          <w:p w14:paraId="624E7FB8"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7886A15D"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7" w:type="pct"/>
            <w:tcBorders>
              <w:right w:val="single" w:sz="18" w:space="0" w:color="auto"/>
            </w:tcBorders>
            <w:vAlign w:val="center"/>
          </w:tcPr>
          <w:p w14:paraId="5FE95FB9"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5" w:type="pct"/>
            <w:tcBorders>
              <w:left w:val="single" w:sz="18" w:space="0" w:color="auto"/>
            </w:tcBorders>
            <w:vAlign w:val="center"/>
          </w:tcPr>
          <w:p w14:paraId="170A2EA0"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7CAB719C"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vAlign w:val="center"/>
          </w:tcPr>
          <w:p w14:paraId="5832646F"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vAlign w:val="center"/>
          </w:tcPr>
          <w:p w14:paraId="2043CC6B"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4" w:type="pct"/>
            <w:tcBorders>
              <w:right w:val="single" w:sz="18" w:space="0" w:color="auto"/>
            </w:tcBorders>
            <w:vAlign w:val="center"/>
          </w:tcPr>
          <w:p w14:paraId="6405F365"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tcBorders>
              <w:left w:val="single" w:sz="18" w:space="0" w:color="auto"/>
            </w:tcBorders>
            <w:vAlign w:val="center"/>
          </w:tcPr>
          <w:p w14:paraId="53575151"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308" w:type="pct"/>
            <w:vAlign w:val="center"/>
          </w:tcPr>
          <w:p w14:paraId="57D77248" w14:textId="77777777" w:rsidR="004B5C12" w:rsidRPr="001B7F57" w:rsidRDefault="004B5C12" w:rsidP="009447B8">
            <w:pPr>
              <w:jc w:val="center"/>
              <w:rPr>
                <w:b/>
                <w:color w:val="4472C4" w:themeColor="accent1"/>
                <w:u w:val="single"/>
              </w:rPr>
            </w:pPr>
            <w:r w:rsidRPr="001B7F57">
              <w:rPr>
                <w:b/>
                <w:color w:val="4472C4" w:themeColor="accent1"/>
                <w:u w:val="single"/>
              </w:rPr>
              <w:t>CU</w:t>
            </w:r>
          </w:p>
        </w:tc>
        <w:tc>
          <w:tcPr>
            <w:tcW w:w="260" w:type="pct"/>
            <w:vAlign w:val="center"/>
          </w:tcPr>
          <w:p w14:paraId="7F481689" w14:textId="77777777" w:rsidR="004B5C12" w:rsidRPr="001B7F57" w:rsidRDefault="004B5C12" w:rsidP="009447B8">
            <w:pPr>
              <w:jc w:val="center"/>
              <w:rPr>
                <w:b/>
                <w:color w:val="4472C4" w:themeColor="accent1"/>
                <w:u w:val="single"/>
              </w:rPr>
            </w:pPr>
            <w:r w:rsidRPr="001B7F57">
              <w:rPr>
                <w:b/>
                <w:color w:val="4472C4" w:themeColor="accent1"/>
                <w:u w:val="single"/>
              </w:rPr>
              <w:t>CU</w:t>
            </w:r>
          </w:p>
        </w:tc>
        <w:tc>
          <w:tcPr>
            <w:tcW w:w="304" w:type="pct"/>
            <w:vAlign w:val="center"/>
          </w:tcPr>
          <w:p w14:paraId="0B957292" w14:textId="77777777" w:rsidR="004B5C12" w:rsidRPr="001B7F57" w:rsidRDefault="004B5C12" w:rsidP="009447B8">
            <w:pPr>
              <w:jc w:val="center"/>
              <w:rPr>
                <w:b/>
                <w:color w:val="4472C4" w:themeColor="accent1"/>
                <w:u w:val="single"/>
              </w:rPr>
            </w:pPr>
            <w:r w:rsidRPr="001B7F57">
              <w:rPr>
                <w:b/>
                <w:color w:val="4472C4" w:themeColor="accent1"/>
                <w:u w:val="single"/>
              </w:rPr>
              <w:t>X</w:t>
            </w:r>
          </w:p>
        </w:tc>
      </w:tr>
      <w:tr w:rsidR="004B5C12" w:rsidRPr="0049244A" w14:paraId="3687E8BA" w14:textId="77777777" w:rsidTr="009447B8">
        <w:trPr>
          <w:trHeight w:val="425"/>
        </w:trPr>
        <w:tc>
          <w:tcPr>
            <w:tcW w:w="1291" w:type="pct"/>
            <w:tcBorders>
              <w:right w:val="double" w:sz="4" w:space="0" w:color="auto"/>
            </w:tcBorders>
          </w:tcPr>
          <w:p w14:paraId="12AD70B3" w14:textId="77777777" w:rsidR="004B5C12" w:rsidRPr="001B7F57" w:rsidRDefault="004B5C12" w:rsidP="009447B8">
            <w:pPr>
              <w:pStyle w:val="ListParagraph"/>
              <w:ind w:left="-105"/>
              <w:rPr>
                <w:rFonts w:asciiTheme="minorHAnsi" w:hAnsiTheme="minorHAnsi"/>
                <w:color w:val="4472C4" w:themeColor="accent1"/>
                <w:u w:val="single"/>
              </w:rPr>
            </w:pPr>
            <w:r w:rsidRPr="001B7F57">
              <w:rPr>
                <w:rFonts w:asciiTheme="minorHAnsi" w:hAnsiTheme="minorHAnsi"/>
                <w:iCs/>
                <w:color w:val="4472C4" w:themeColor="accent1"/>
                <w:u w:val="single"/>
              </w:rPr>
              <w:t>Solar PV Parking Canopy - accessory use to surface parking (See Article XX)</w:t>
            </w:r>
          </w:p>
        </w:tc>
        <w:tc>
          <w:tcPr>
            <w:tcW w:w="282" w:type="pct"/>
            <w:tcBorders>
              <w:left w:val="double" w:sz="4" w:space="0" w:color="auto"/>
            </w:tcBorders>
            <w:vAlign w:val="center"/>
          </w:tcPr>
          <w:p w14:paraId="22C93D19" w14:textId="77777777" w:rsidR="004B5C12" w:rsidRPr="001B7F57" w:rsidRDefault="004B5C12" w:rsidP="009447B8">
            <w:pPr>
              <w:rPr>
                <w:b/>
                <w:color w:val="4472C4" w:themeColor="accent1"/>
                <w:u w:val="single"/>
              </w:rPr>
            </w:pPr>
          </w:p>
          <w:p w14:paraId="1D39B928" w14:textId="77777777" w:rsidR="004B5C12" w:rsidRPr="001B7F57" w:rsidRDefault="004B5C12" w:rsidP="009447B8">
            <w:pPr>
              <w:rPr>
                <w:b/>
                <w:color w:val="4472C4" w:themeColor="accent1"/>
                <w:u w:val="single"/>
              </w:rPr>
            </w:pPr>
            <w:r w:rsidRPr="001B7F57">
              <w:rPr>
                <w:b/>
                <w:color w:val="4472C4" w:themeColor="accent1"/>
                <w:u w:val="single"/>
              </w:rPr>
              <w:t>X</w:t>
            </w:r>
          </w:p>
        </w:tc>
        <w:tc>
          <w:tcPr>
            <w:tcW w:w="282" w:type="pct"/>
            <w:vAlign w:val="center"/>
          </w:tcPr>
          <w:p w14:paraId="4A80FB89" w14:textId="77777777" w:rsidR="004B5C12" w:rsidRPr="001B7F57" w:rsidRDefault="004B5C12" w:rsidP="009447B8">
            <w:pPr>
              <w:jc w:val="center"/>
              <w:rPr>
                <w:b/>
                <w:color w:val="4472C4" w:themeColor="accent1"/>
                <w:u w:val="single"/>
              </w:rPr>
            </w:pPr>
          </w:p>
          <w:p w14:paraId="513EA5F6"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3" w:type="pct"/>
            <w:vAlign w:val="center"/>
          </w:tcPr>
          <w:p w14:paraId="6B71BD7C" w14:textId="77777777" w:rsidR="004B5C12" w:rsidRPr="001B7F57" w:rsidRDefault="004B5C12" w:rsidP="009447B8">
            <w:pPr>
              <w:jc w:val="center"/>
              <w:rPr>
                <w:b/>
                <w:color w:val="4472C4" w:themeColor="accent1"/>
                <w:u w:val="single"/>
              </w:rPr>
            </w:pPr>
          </w:p>
          <w:p w14:paraId="057F2633"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7" w:type="pct"/>
            <w:tcBorders>
              <w:right w:val="single" w:sz="18" w:space="0" w:color="auto"/>
            </w:tcBorders>
            <w:vAlign w:val="center"/>
          </w:tcPr>
          <w:p w14:paraId="79E93895" w14:textId="77777777" w:rsidR="004B5C12" w:rsidRPr="001B7F57" w:rsidRDefault="004B5C12" w:rsidP="009447B8">
            <w:pPr>
              <w:jc w:val="center"/>
              <w:rPr>
                <w:b/>
                <w:color w:val="4472C4" w:themeColor="accent1"/>
                <w:u w:val="single"/>
              </w:rPr>
            </w:pPr>
          </w:p>
          <w:p w14:paraId="032CA5F7" w14:textId="77777777" w:rsidR="004B5C12" w:rsidRPr="001B7F57" w:rsidRDefault="004B5C12" w:rsidP="009447B8">
            <w:pPr>
              <w:jc w:val="center"/>
              <w:rPr>
                <w:b/>
                <w:color w:val="4472C4" w:themeColor="accent1"/>
                <w:u w:val="single"/>
              </w:rPr>
            </w:pPr>
            <w:r w:rsidRPr="001B7F57">
              <w:rPr>
                <w:b/>
                <w:color w:val="4472C4" w:themeColor="accent1"/>
                <w:u w:val="single"/>
              </w:rPr>
              <w:t>X</w:t>
            </w:r>
          </w:p>
        </w:tc>
        <w:tc>
          <w:tcPr>
            <w:tcW w:w="285" w:type="pct"/>
            <w:tcBorders>
              <w:left w:val="single" w:sz="18" w:space="0" w:color="auto"/>
            </w:tcBorders>
            <w:vAlign w:val="center"/>
          </w:tcPr>
          <w:p w14:paraId="62E7B5B1" w14:textId="77777777" w:rsidR="004B5C12" w:rsidRPr="001B7F57" w:rsidRDefault="004B5C12" w:rsidP="009447B8">
            <w:pPr>
              <w:jc w:val="center"/>
              <w:rPr>
                <w:b/>
                <w:color w:val="4472C4" w:themeColor="accent1"/>
                <w:u w:val="single"/>
              </w:rPr>
            </w:pPr>
          </w:p>
          <w:p w14:paraId="6E3233A6"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vAlign w:val="center"/>
          </w:tcPr>
          <w:p w14:paraId="16F44AD0" w14:textId="77777777" w:rsidR="004B5C12" w:rsidRPr="001B7F57" w:rsidRDefault="004B5C12" w:rsidP="009447B8">
            <w:pPr>
              <w:jc w:val="center"/>
              <w:rPr>
                <w:b/>
                <w:color w:val="4472C4" w:themeColor="accent1"/>
                <w:u w:val="single"/>
              </w:rPr>
            </w:pPr>
          </w:p>
          <w:p w14:paraId="34E6C96E"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14CA5FD3" w14:textId="77777777" w:rsidR="004B5C12" w:rsidRPr="001B7F57" w:rsidRDefault="004B5C12" w:rsidP="009447B8">
            <w:pPr>
              <w:jc w:val="center"/>
              <w:rPr>
                <w:b/>
                <w:color w:val="4472C4" w:themeColor="accent1"/>
                <w:u w:val="single"/>
              </w:rPr>
            </w:pPr>
          </w:p>
          <w:p w14:paraId="32CAD37B"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2A1FE782" w14:textId="77777777" w:rsidR="004B5C12" w:rsidRPr="001B7F57" w:rsidRDefault="004B5C12" w:rsidP="009447B8">
            <w:pPr>
              <w:jc w:val="center"/>
              <w:rPr>
                <w:b/>
                <w:color w:val="4472C4" w:themeColor="accent1"/>
                <w:u w:val="single"/>
              </w:rPr>
            </w:pPr>
          </w:p>
          <w:p w14:paraId="25012731"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tcBorders>
              <w:right w:val="single" w:sz="18" w:space="0" w:color="auto"/>
            </w:tcBorders>
            <w:vAlign w:val="center"/>
          </w:tcPr>
          <w:p w14:paraId="384948C9" w14:textId="77777777" w:rsidR="004B5C12" w:rsidRPr="001B7F57" w:rsidRDefault="004B5C12" w:rsidP="009447B8">
            <w:pPr>
              <w:jc w:val="center"/>
              <w:rPr>
                <w:b/>
                <w:color w:val="4472C4" w:themeColor="accent1"/>
                <w:u w:val="single"/>
              </w:rPr>
            </w:pPr>
          </w:p>
          <w:p w14:paraId="6E7A1385"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tcBorders>
              <w:left w:val="single" w:sz="18" w:space="0" w:color="auto"/>
            </w:tcBorders>
            <w:vAlign w:val="center"/>
          </w:tcPr>
          <w:p w14:paraId="5C4BC09D" w14:textId="77777777" w:rsidR="004B5C12" w:rsidRPr="001B7F57" w:rsidRDefault="004B5C12" w:rsidP="009447B8">
            <w:pPr>
              <w:jc w:val="center"/>
              <w:rPr>
                <w:b/>
                <w:color w:val="4472C4" w:themeColor="accent1"/>
                <w:u w:val="single"/>
              </w:rPr>
            </w:pPr>
          </w:p>
          <w:p w14:paraId="61292512"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8" w:type="pct"/>
            <w:vAlign w:val="center"/>
          </w:tcPr>
          <w:p w14:paraId="027FFBCF" w14:textId="77777777" w:rsidR="004B5C12" w:rsidRPr="001B7F57" w:rsidRDefault="004B5C12" w:rsidP="009447B8">
            <w:pPr>
              <w:jc w:val="center"/>
              <w:rPr>
                <w:b/>
                <w:color w:val="4472C4" w:themeColor="accent1"/>
                <w:u w:val="single"/>
              </w:rPr>
            </w:pPr>
          </w:p>
          <w:p w14:paraId="02EBE6A1"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60" w:type="pct"/>
            <w:vAlign w:val="center"/>
          </w:tcPr>
          <w:p w14:paraId="2EFB6B55" w14:textId="77777777" w:rsidR="004B5C12" w:rsidRPr="001B7F57" w:rsidRDefault="004B5C12" w:rsidP="009447B8">
            <w:pPr>
              <w:jc w:val="center"/>
              <w:rPr>
                <w:b/>
                <w:color w:val="4472C4" w:themeColor="accent1"/>
                <w:u w:val="single"/>
              </w:rPr>
            </w:pPr>
          </w:p>
          <w:p w14:paraId="7E51793B"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4" w:type="pct"/>
            <w:vAlign w:val="center"/>
          </w:tcPr>
          <w:p w14:paraId="16A4D16F" w14:textId="77777777" w:rsidR="004B5C12" w:rsidRPr="001B7F57" w:rsidRDefault="004B5C12" w:rsidP="009447B8">
            <w:pPr>
              <w:jc w:val="center"/>
              <w:rPr>
                <w:b/>
                <w:color w:val="4472C4" w:themeColor="accent1"/>
                <w:u w:val="single"/>
              </w:rPr>
            </w:pPr>
          </w:p>
          <w:p w14:paraId="4C0352AF" w14:textId="77777777" w:rsidR="004B5C12" w:rsidRPr="001B7F57" w:rsidRDefault="004B5C12" w:rsidP="009447B8">
            <w:pPr>
              <w:jc w:val="center"/>
              <w:rPr>
                <w:b/>
                <w:color w:val="4472C4" w:themeColor="accent1"/>
                <w:u w:val="single"/>
              </w:rPr>
            </w:pPr>
            <w:r w:rsidRPr="001B7F57">
              <w:rPr>
                <w:b/>
                <w:color w:val="4472C4" w:themeColor="accent1"/>
                <w:u w:val="single"/>
              </w:rPr>
              <w:t>P</w:t>
            </w:r>
          </w:p>
        </w:tc>
      </w:tr>
      <w:tr w:rsidR="004B5C12" w:rsidRPr="0049244A" w14:paraId="018E1AE8" w14:textId="77777777" w:rsidTr="009447B8">
        <w:trPr>
          <w:trHeight w:val="425"/>
        </w:trPr>
        <w:tc>
          <w:tcPr>
            <w:tcW w:w="1291" w:type="pct"/>
            <w:tcBorders>
              <w:right w:val="double" w:sz="4" w:space="0" w:color="auto"/>
            </w:tcBorders>
          </w:tcPr>
          <w:p w14:paraId="16F809A7" w14:textId="77777777" w:rsidR="004B5C12" w:rsidRPr="001B7F57" w:rsidRDefault="004B5C12" w:rsidP="009447B8">
            <w:pPr>
              <w:pStyle w:val="ListParagraph"/>
              <w:ind w:left="-105"/>
              <w:rPr>
                <w:rFonts w:asciiTheme="minorHAnsi" w:hAnsiTheme="minorHAnsi"/>
                <w:iCs/>
                <w:color w:val="4472C4" w:themeColor="accent1"/>
                <w:u w:val="single"/>
              </w:rPr>
            </w:pPr>
          </w:p>
        </w:tc>
        <w:tc>
          <w:tcPr>
            <w:tcW w:w="282" w:type="pct"/>
            <w:tcBorders>
              <w:left w:val="double" w:sz="4" w:space="0" w:color="auto"/>
            </w:tcBorders>
            <w:vAlign w:val="center"/>
          </w:tcPr>
          <w:p w14:paraId="44971C97" w14:textId="77777777" w:rsidR="004B5C12" w:rsidRPr="001B7F57" w:rsidRDefault="004B5C12" w:rsidP="009447B8">
            <w:pPr>
              <w:rPr>
                <w:b/>
                <w:color w:val="4472C4" w:themeColor="accent1"/>
                <w:u w:val="single"/>
              </w:rPr>
            </w:pPr>
          </w:p>
        </w:tc>
        <w:tc>
          <w:tcPr>
            <w:tcW w:w="282" w:type="pct"/>
            <w:vAlign w:val="center"/>
          </w:tcPr>
          <w:p w14:paraId="7430AD49" w14:textId="77777777" w:rsidR="004B5C12" w:rsidRPr="001B7F57" w:rsidRDefault="004B5C12" w:rsidP="009447B8">
            <w:pPr>
              <w:jc w:val="center"/>
              <w:rPr>
                <w:b/>
                <w:color w:val="4472C4" w:themeColor="accent1"/>
                <w:u w:val="single"/>
              </w:rPr>
            </w:pPr>
          </w:p>
        </w:tc>
        <w:tc>
          <w:tcPr>
            <w:tcW w:w="283" w:type="pct"/>
            <w:vAlign w:val="center"/>
          </w:tcPr>
          <w:p w14:paraId="0A74C0F5" w14:textId="77777777" w:rsidR="004B5C12" w:rsidRPr="001B7F57" w:rsidRDefault="004B5C12" w:rsidP="009447B8">
            <w:pPr>
              <w:jc w:val="center"/>
              <w:rPr>
                <w:b/>
                <w:color w:val="4472C4" w:themeColor="accent1"/>
                <w:u w:val="single"/>
              </w:rPr>
            </w:pPr>
          </w:p>
        </w:tc>
        <w:tc>
          <w:tcPr>
            <w:tcW w:w="287" w:type="pct"/>
            <w:tcBorders>
              <w:right w:val="single" w:sz="18" w:space="0" w:color="auto"/>
            </w:tcBorders>
            <w:vAlign w:val="center"/>
          </w:tcPr>
          <w:p w14:paraId="3C1B3F29" w14:textId="77777777" w:rsidR="004B5C12" w:rsidRPr="001B7F57" w:rsidRDefault="004B5C12" w:rsidP="009447B8">
            <w:pPr>
              <w:jc w:val="center"/>
              <w:rPr>
                <w:b/>
                <w:color w:val="4472C4" w:themeColor="accent1"/>
                <w:u w:val="single"/>
              </w:rPr>
            </w:pPr>
          </w:p>
        </w:tc>
        <w:tc>
          <w:tcPr>
            <w:tcW w:w="285" w:type="pct"/>
            <w:tcBorders>
              <w:left w:val="single" w:sz="18" w:space="0" w:color="auto"/>
            </w:tcBorders>
            <w:vAlign w:val="center"/>
          </w:tcPr>
          <w:p w14:paraId="7C52DEA8" w14:textId="77777777" w:rsidR="004B5C12" w:rsidRPr="001B7F57" w:rsidRDefault="004B5C12" w:rsidP="009447B8">
            <w:pPr>
              <w:jc w:val="center"/>
              <w:rPr>
                <w:b/>
                <w:color w:val="4472C4" w:themeColor="accent1"/>
                <w:u w:val="single"/>
              </w:rPr>
            </w:pPr>
          </w:p>
        </w:tc>
        <w:tc>
          <w:tcPr>
            <w:tcW w:w="283" w:type="pct"/>
            <w:vAlign w:val="center"/>
          </w:tcPr>
          <w:p w14:paraId="1234E046" w14:textId="77777777" w:rsidR="004B5C12" w:rsidRPr="001B7F57" w:rsidRDefault="004B5C12" w:rsidP="009447B8">
            <w:pPr>
              <w:jc w:val="center"/>
              <w:rPr>
                <w:b/>
                <w:color w:val="4472C4" w:themeColor="accent1"/>
                <w:u w:val="single"/>
              </w:rPr>
            </w:pPr>
          </w:p>
        </w:tc>
        <w:tc>
          <w:tcPr>
            <w:tcW w:w="284" w:type="pct"/>
            <w:vAlign w:val="center"/>
          </w:tcPr>
          <w:p w14:paraId="118CA00B" w14:textId="77777777" w:rsidR="004B5C12" w:rsidRPr="001B7F57" w:rsidRDefault="004B5C12" w:rsidP="009447B8">
            <w:pPr>
              <w:jc w:val="center"/>
              <w:rPr>
                <w:b/>
                <w:color w:val="4472C4" w:themeColor="accent1"/>
                <w:u w:val="single"/>
              </w:rPr>
            </w:pPr>
          </w:p>
        </w:tc>
        <w:tc>
          <w:tcPr>
            <w:tcW w:w="284" w:type="pct"/>
            <w:vAlign w:val="center"/>
          </w:tcPr>
          <w:p w14:paraId="5AE48BD4" w14:textId="77777777" w:rsidR="004B5C12" w:rsidRPr="001B7F57" w:rsidRDefault="004B5C12" w:rsidP="009447B8">
            <w:pPr>
              <w:jc w:val="center"/>
              <w:rPr>
                <w:b/>
                <w:color w:val="4472C4" w:themeColor="accent1"/>
                <w:u w:val="single"/>
              </w:rPr>
            </w:pPr>
          </w:p>
        </w:tc>
        <w:tc>
          <w:tcPr>
            <w:tcW w:w="284" w:type="pct"/>
            <w:tcBorders>
              <w:right w:val="single" w:sz="18" w:space="0" w:color="auto"/>
            </w:tcBorders>
            <w:vAlign w:val="center"/>
          </w:tcPr>
          <w:p w14:paraId="0CD528F3" w14:textId="77777777" w:rsidR="004B5C12" w:rsidRPr="001B7F57" w:rsidRDefault="004B5C12" w:rsidP="009447B8">
            <w:pPr>
              <w:jc w:val="center"/>
              <w:rPr>
                <w:b/>
                <w:color w:val="4472C4" w:themeColor="accent1"/>
                <w:u w:val="single"/>
              </w:rPr>
            </w:pPr>
          </w:p>
        </w:tc>
        <w:tc>
          <w:tcPr>
            <w:tcW w:w="283" w:type="pct"/>
            <w:tcBorders>
              <w:left w:val="single" w:sz="18" w:space="0" w:color="auto"/>
            </w:tcBorders>
            <w:vAlign w:val="center"/>
          </w:tcPr>
          <w:p w14:paraId="68909917" w14:textId="77777777" w:rsidR="004B5C12" w:rsidRPr="001B7F57" w:rsidRDefault="004B5C12" w:rsidP="009447B8">
            <w:pPr>
              <w:jc w:val="center"/>
              <w:rPr>
                <w:b/>
                <w:color w:val="4472C4" w:themeColor="accent1"/>
                <w:u w:val="single"/>
              </w:rPr>
            </w:pPr>
          </w:p>
        </w:tc>
        <w:tc>
          <w:tcPr>
            <w:tcW w:w="308" w:type="pct"/>
            <w:vAlign w:val="center"/>
          </w:tcPr>
          <w:p w14:paraId="0E4DE4A5" w14:textId="77777777" w:rsidR="004B5C12" w:rsidRPr="001B7F57" w:rsidRDefault="004B5C12" w:rsidP="009447B8">
            <w:pPr>
              <w:jc w:val="center"/>
              <w:rPr>
                <w:b/>
                <w:color w:val="4472C4" w:themeColor="accent1"/>
                <w:u w:val="single"/>
              </w:rPr>
            </w:pPr>
          </w:p>
        </w:tc>
        <w:tc>
          <w:tcPr>
            <w:tcW w:w="260" w:type="pct"/>
            <w:vAlign w:val="center"/>
          </w:tcPr>
          <w:p w14:paraId="5D4946E3" w14:textId="77777777" w:rsidR="004B5C12" w:rsidRPr="001B7F57" w:rsidRDefault="004B5C12" w:rsidP="009447B8">
            <w:pPr>
              <w:jc w:val="center"/>
              <w:rPr>
                <w:b/>
                <w:color w:val="4472C4" w:themeColor="accent1"/>
                <w:u w:val="single"/>
              </w:rPr>
            </w:pPr>
          </w:p>
        </w:tc>
        <w:tc>
          <w:tcPr>
            <w:tcW w:w="304" w:type="pct"/>
            <w:vAlign w:val="center"/>
          </w:tcPr>
          <w:p w14:paraId="5F314E1A" w14:textId="77777777" w:rsidR="004B5C12" w:rsidRPr="001B7F57" w:rsidRDefault="004B5C12" w:rsidP="009447B8">
            <w:pPr>
              <w:jc w:val="center"/>
              <w:rPr>
                <w:b/>
                <w:color w:val="4472C4" w:themeColor="accent1"/>
                <w:u w:val="single"/>
              </w:rPr>
            </w:pPr>
          </w:p>
        </w:tc>
      </w:tr>
      <w:tr w:rsidR="004B5C12" w:rsidRPr="0049244A" w14:paraId="373887BE" w14:textId="77777777" w:rsidTr="009447B8">
        <w:trPr>
          <w:trHeight w:val="425"/>
        </w:trPr>
        <w:tc>
          <w:tcPr>
            <w:tcW w:w="1291" w:type="pct"/>
            <w:tcBorders>
              <w:right w:val="double" w:sz="4" w:space="0" w:color="auto"/>
            </w:tcBorders>
          </w:tcPr>
          <w:p w14:paraId="43AAF97E" w14:textId="77777777" w:rsidR="004B5C12" w:rsidRPr="001B7F57" w:rsidRDefault="004B5C12" w:rsidP="009447B8">
            <w:pPr>
              <w:pStyle w:val="ListParagraph"/>
              <w:ind w:left="-105"/>
              <w:rPr>
                <w:rFonts w:asciiTheme="minorHAnsi" w:hAnsiTheme="minorHAnsi"/>
                <w:iCs/>
                <w:color w:val="4472C4" w:themeColor="accent1"/>
                <w:u w:val="single"/>
              </w:rPr>
            </w:pPr>
            <w:r w:rsidRPr="001B7F57">
              <w:rPr>
                <w:rFonts w:asciiTheme="minorHAnsi" w:hAnsiTheme="minorHAnsi"/>
                <w:color w:val="4472C4" w:themeColor="accent1"/>
                <w:u w:val="single"/>
              </w:rPr>
              <w:t xml:space="preserve">Small </w:t>
            </w:r>
            <w:r w:rsidRPr="001B7F57">
              <w:rPr>
                <w:rFonts w:asciiTheme="minorHAnsi" w:hAnsiTheme="minorHAnsi" w:cstheme="minorHAnsi"/>
                <w:color w:val="4472C4" w:themeColor="accent1"/>
                <w:u w:val="single"/>
              </w:rPr>
              <w:t>Group Net Metering Host</w:t>
            </w:r>
            <w:r w:rsidRPr="001B7F57">
              <w:rPr>
                <w:rFonts w:ascii="Times New Roman" w:hAnsi="Times New Roman"/>
                <w:color w:val="4472C4" w:themeColor="accent1"/>
                <w:sz w:val="25"/>
                <w:szCs w:val="25"/>
                <w:u w:val="single"/>
              </w:rPr>
              <w:t xml:space="preserve"> </w:t>
            </w:r>
            <w:r w:rsidRPr="001B7F57">
              <w:rPr>
                <w:rFonts w:asciiTheme="minorHAnsi" w:hAnsiTheme="minorHAnsi"/>
                <w:color w:val="4472C4" w:themeColor="accent1"/>
                <w:u w:val="single"/>
              </w:rPr>
              <w:t>- accessory use to a single-family or Duplex residence (See Article XX)</w:t>
            </w:r>
          </w:p>
        </w:tc>
        <w:tc>
          <w:tcPr>
            <w:tcW w:w="282" w:type="pct"/>
            <w:tcBorders>
              <w:left w:val="double" w:sz="4" w:space="0" w:color="auto"/>
            </w:tcBorders>
            <w:vAlign w:val="center"/>
          </w:tcPr>
          <w:p w14:paraId="11322DFF" w14:textId="77777777" w:rsidR="004B5C12" w:rsidRPr="001B7F57" w:rsidRDefault="004B5C12" w:rsidP="009447B8">
            <w:pPr>
              <w:rPr>
                <w:b/>
                <w:color w:val="4472C4" w:themeColor="accent1"/>
                <w:u w:val="single"/>
              </w:rPr>
            </w:pPr>
          </w:p>
        </w:tc>
        <w:tc>
          <w:tcPr>
            <w:tcW w:w="282" w:type="pct"/>
            <w:vAlign w:val="center"/>
          </w:tcPr>
          <w:p w14:paraId="4D1B38B2" w14:textId="77777777" w:rsidR="004B5C12" w:rsidRPr="001B7F57" w:rsidRDefault="004B5C12" w:rsidP="009447B8">
            <w:pPr>
              <w:jc w:val="center"/>
              <w:rPr>
                <w:b/>
                <w:color w:val="4472C4" w:themeColor="accent1"/>
                <w:u w:val="single"/>
              </w:rPr>
            </w:pPr>
          </w:p>
        </w:tc>
        <w:tc>
          <w:tcPr>
            <w:tcW w:w="283" w:type="pct"/>
            <w:vAlign w:val="center"/>
          </w:tcPr>
          <w:p w14:paraId="285AF32F" w14:textId="77777777" w:rsidR="004B5C12" w:rsidRPr="001B7F57" w:rsidRDefault="004B5C12" w:rsidP="009447B8">
            <w:pPr>
              <w:jc w:val="center"/>
              <w:rPr>
                <w:b/>
                <w:color w:val="4472C4" w:themeColor="accent1"/>
                <w:u w:val="single"/>
              </w:rPr>
            </w:pPr>
          </w:p>
        </w:tc>
        <w:tc>
          <w:tcPr>
            <w:tcW w:w="287" w:type="pct"/>
            <w:tcBorders>
              <w:right w:val="single" w:sz="18" w:space="0" w:color="auto"/>
            </w:tcBorders>
            <w:vAlign w:val="center"/>
          </w:tcPr>
          <w:p w14:paraId="443028D7" w14:textId="77777777" w:rsidR="004B5C12" w:rsidRPr="001B7F57" w:rsidRDefault="004B5C12" w:rsidP="009447B8">
            <w:pPr>
              <w:jc w:val="center"/>
              <w:rPr>
                <w:b/>
                <w:color w:val="4472C4" w:themeColor="accent1"/>
                <w:u w:val="single"/>
              </w:rPr>
            </w:pPr>
          </w:p>
        </w:tc>
        <w:tc>
          <w:tcPr>
            <w:tcW w:w="285" w:type="pct"/>
            <w:tcBorders>
              <w:left w:val="single" w:sz="18" w:space="0" w:color="auto"/>
            </w:tcBorders>
            <w:vAlign w:val="center"/>
          </w:tcPr>
          <w:p w14:paraId="069BA6FC" w14:textId="77777777" w:rsidR="004B5C12" w:rsidRPr="001B7F57" w:rsidRDefault="004B5C12" w:rsidP="009447B8">
            <w:pPr>
              <w:jc w:val="center"/>
              <w:rPr>
                <w:b/>
                <w:color w:val="4472C4" w:themeColor="accent1"/>
                <w:u w:val="single"/>
              </w:rPr>
            </w:pPr>
          </w:p>
        </w:tc>
        <w:tc>
          <w:tcPr>
            <w:tcW w:w="283" w:type="pct"/>
            <w:vAlign w:val="center"/>
          </w:tcPr>
          <w:p w14:paraId="1C61D416" w14:textId="77777777" w:rsidR="004B5C12" w:rsidRPr="001B7F57" w:rsidRDefault="004B5C12" w:rsidP="009447B8">
            <w:pPr>
              <w:jc w:val="center"/>
              <w:rPr>
                <w:b/>
                <w:color w:val="4472C4" w:themeColor="accent1"/>
                <w:u w:val="single"/>
              </w:rPr>
            </w:pPr>
          </w:p>
        </w:tc>
        <w:tc>
          <w:tcPr>
            <w:tcW w:w="284" w:type="pct"/>
            <w:vAlign w:val="center"/>
          </w:tcPr>
          <w:p w14:paraId="70120EDB" w14:textId="77777777" w:rsidR="004B5C12" w:rsidRPr="001B7F57" w:rsidRDefault="004B5C12" w:rsidP="009447B8">
            <w:pPr>
              <w:jc w:val="center"/>
              <w:rPr>
                <w:b/>
                <w:color w:val="4472C4" w:themeColor="accent1"/>
                <w:u w:val="single"/>
              </w:rPr>
            </w:pPr>
          </w:p>
        </w:tc>
        <w:tc>
          <w:tcPr>
            <w:tcW w:w="284" w:type="pct"/>
            <w:vAlign w:val="center"/>
          </w:tcPr>
          <w:p w14:paraId="7FD0D09B" w14:textId="77777777" w:rsidR="004B5C12" w:rsidRPr="001B7F57" w:rsidRDefault="004B5C12" w:rsidP="009447B8">
            <w:pPr>
              <w:jc w:val="center"/>
              <w:rPr>
                <w:b/>
                <w:color w:val="4472C4" w:themeColor="accent1"/>
                <w:u w:val="single"/>
              </w:rPr>
            </w:pPr>
          </w:p>
        </w:tc>
        <w:tc>
          <w:tcPr>
            <w:tcW w:w="284" w:type="pct"/>
            <w:tcBorders>
              <w:right w:val="single" w:sz="18" w:space="0" w:color="auto"/>
            </w:tcBorders>
            <w:vAlign w:val="center"/>
          </w:tcPr>
          <w:p w14:paraId="08DFBDA0" w14:textId="77777777" w:rsidR="004B5C12" w:rsidRPr="001B7F57" w:rsidRDefault="004B5C12" w:rsidP="009447B8">
            <w:pPr>
              <w:jc w:val="center"/>
              <w:rPr>
                <w:b/>
                <w:color w:val="4472C4" w:themeColor="accent1"/>
                <w:u w:val="single"/>
              </w:rPr>
            </w:pPr>
          </w:p>
        </w:tc>
        <w:tc>
          <w:tcPr>
            <w:tcW w:w="283" w:type="pct"/>
            <w:tcBorders>
              <w:left w:val="single" w:sz="18" w:space="0" w:color="auto"/>
            </w:tcBorders>
            <w:vAlign w:val="center"/>
          </w:tcPr>
          <w:p w14:paraId="0A7A6B96" w14:textId="77777777" w:rsidR="004B5C12" w:rsidRPr="001B7F57" w:rsidRDefault="004B5C12" w:rsidP="009447B8">
            <w:pPr>
              <w:jc w:val="center"/>
              <w:rPr>
                <w:b/>
                <w:color w:val="4472C4" w:themeColor="accent1"/>
                <w:u w:val="single"/>
              </w:rPr>
            </w:pPr>
          </w:p>
        </w:tc>
        <w:tc>
          <w:tcPr>
            <w:tcW w:w="308" w:type="pct"/>
            <w:vAlign w:val="center"/>
          </w:tcPr>
          <w:p w14:paraId="157DFF69" w14:textId="77777777" w:rsidR="004B5C12" w:rsidRPr="001B7F57" w:rsidRDefault="004B5C12" w:rsidP="009447B8">
            <w:pPr>
              <w:jc w:val="center"/>
              <w:rPr>
                <w:b/>
                <w:color w:val="4472C4" w:themeColor="accent1"/>
                <w:u w:val="single"/>
              </w:rPr>
            </w:pPr>
          </w:p>
        </w:tc>
        <w:tc>
          <w:tcPr>
            <w:tcW w:w="260" w:type="pct"/>
            <w:vAlign w:val="center"/>
          </w:tcPr>
          <w:p w14:paraId="1DBC0F2D" w14:textId="77777777" w:rsidR="004B5C12" w:rsidRPr="001B7F57" w:rsidRDefault="004B5C12" w:rsidP="009447B8">
            <w:pPr>
              <w:jc w:val="center"/>
              <w:rPr>
                <w:b/>
                <w:color w:val="4472C4" w:themeColor="accent1"/>
                <w:u w:val="single"/>
              </w:rPr>
            </w:pPr>
          </w:p>
        </w:tc>
        <w:tc>
          <w:tcPr>
            <w:tcW w:w="304" w:type="pct"/>
            <w:vAlign w:val="center"/>
          </w:tcPr>
          <w:p w14:paraId="529EF562" w14:textId="77777777" w:rsidR="004B5C12" w:rsidRPr="001B7F57" w:rsidRDefault="004B5C12" w:rsidP="009447B8">
            <w:pPr>
              <w:jc w:val="center"/>
              <w:rPr>
                <w:b/>
                <w:color w:val="4472C4" w:themeColor="accent1"/>
                <w:u w:val="single"/>
              </w:rPr>
            </w:pPr>
          </w:p>
        </w:tc>
      </w:tr>
      <w:tr w:rsidR="004B5C12" w:rsidRPr="0049244A" w14:paraId="277717A8" w14:textId="77777777" w:rsidTr="009447B8">
        <w:trPr>
          <w:trHeight w:val="425"/>
        </w:trPr>
        <w:tc>
          <w:tcPr>
            <w:tcW w:w="1291" w:type="pct"/>
            <w:tcBorders>
              <w:right w:val="double" w:sz="4" w:space="0" w:color="auto"/>
            </w:tcBorders>
          </w:tcPr>
          <w:p w14:paraId="0EBC6762" w14:textId="77777777" w:rsidR="004B5C12" w:rsidRPr="001B7F57" w:rsidRDefault="004B5C12" w:rsidP="004B5C12">
            <w:pPr>
              <w:pStyle w:val="ListParagraph"/>
              <w:numPr>
                <w:ilvl w:val="0"/>
                <w:numId w:val="8"/>
              </w:numPr>
              <w:spacing w:after="0" w:line="240" w:lineRule="auto"/>
              <w:contextualSpacing w:val="0"/>
              <w:rPr>
                <w:rFonts w:asciiTheme="minorHAnsi" w:hAnsiTheme="minorHAnsi"/>
                <w:color w:val="4472C4" w:themeColor="accent1"/>
                <w:u w:val="single"/>
              </w:rPr>
            </w:pPr>
            <w:r w:rsidRPr="001B7F57">
              <w:rPr>
                <w:rFonts w:asciiTheme="minorHAnsi" w:hAnsiTheme="minorHAnsi"/>
                <w:color w:val="4472C4" w:themeColor="accent1"/>
                <w:u w:val="single"/>
              </w:rPr>
              <w:t>Building-mounted</w:t>
            </w:r>
          </w:p>
        </w:tc>
        <w:tc>
          <w:tcPr>
            <w:tcW w:w="282" w:type="pct"/>
            <w:tcBorders>
              <w:left w:val="double" w:sz="4" w:space="0" w:color="auto"/>
            </w:tcBorders>
            <w:vAlign w:val="center"/>
          </w:tcPr>
          <w:p w14:paraId="6CD6C888" w14:textId="77777777" w:rsidR="004B5C12" w:rsidRPr="001B7F57" w:rsidRDefault="004B5C12" w:rsidP="009447B8">
            <w:pPr>
              <w:rPr>
                <w:b/>
                <w:color w:val="4472C4" w:themeColor="accent1"/>
                <w:u w:val="single"/>
              </w:rPr>
            </w:pPr>
            <w:r w:rsidRPr="001B7F57">
              <w:rPr>
                <w:b/>
                <w:color w:val="4472C4" w:themeColor="accent1"/>
                <w:u w:val="single"/>
              </w:rPr>
              <w:t>P</w:t>
            </w:r>
          </w:p>
        </w:tc>
        <w:tc>
          <w:tcPr>
            <w:tcW w:w="282" w:type="pct"/>
            <w:vAlign w:val="center"/>
          </w:tcPr>
          <w:p w14:paraId="06D7F083"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vAlign w:val="center"/>
          </w:tcPr>
          <w:p w14:paraId="253282AB"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7" w:type="pct"/>
            <w:tcBorders>
              <w:right w:val="single" w:sz="18" w:space="0" w:color="auto"/>
            </w:tcBorders>
            <w:vAlign w:val="center"/>
          </w:tcPr>
          <w:p w14:paraId="1DCBB2FD"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5" w:type="pct"/>
            <w:tcBorders>
              <w:left w:val="single" w:sz="18" w:space="0" w:color="auto"/>
            </w:tcBorders>
            <w:vAlign w:val="center"/>
          </w:tcPr>
          <w:p w14:paraId="2A9E57B9"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vAlign w:val="center"/>
          </w:tcPr>
          <w:p w14:paraId="17981672"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40A1DCC5"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1C9F44BD"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tcBorders>
              <w:right w:val="single" w:sz="18" w:space="0" w:color="auto"/>
            </w:tcBorders>
            <w:vAlign w:val="center"/>
          </w:tcPr>
          <w:p w14:paraId="251CD1F7"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tcBorders>
              <w:left w:val="single" w:sz="18" w:space="0" w:color="auto"/>
            </w:tcBorders>
            <w:vAlign w:val="center"/>
          </w:tcPr>
          <w:p w14:paraId="5DAFB942"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8" w:type="pct"/>
            <w:vAlign w:val="center"/>
          </w:tcPr>
          <w:p w14:paraId="39631296"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60" w:type="pct"/>
            <w:vAlign w:val="center"/>
          </w:tcPr>
          <w:p w14:paraId="28CCD6C4"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4" w:type="pct"/>
            <w:vAlign w:val="center"/>
          </w:tcPr>
          <w:p w14:paraId="5557E19D" w14:textId="77777777" w:rsidR="004B5C12" w:rsidRPr="001B7F57" w:rsidRDefault="004B5C12" w:rsidP="009447B8">
            <w:pPr>
              <w:jc w:val="center"/>
              <w:rPr>
                <w:b/>
                <w:color w:val="4472C4" w:themeColor="accent1"/>
                <w:u w:val="single"/>
              </w:rPr>
            </w:pPr>
            <w:r w:rsidRPr="001B7F57">
              <w:rPr>
                <w:b/>
                <w:color w:val="4472C4" w:themeColor="accent1"/>
                <w:u w:val="single"/>
              </w:rPr>
              <w:t>P</w:t>
            </w:r>
          </w:p>
        </w:tc>
      </w:tr>
      <w:tr w:rsidR="004B5C12" w:rsidRPr="0049244A" w14:paraId="12BE059C" w14:textId="77777777" w:rsidTr="009447B8">
        <w:trPr>
          <w:trHeight w:val="425"/>
        </w:trPr>
        <w:tc>
          <w:tcPr>
            <w:tcW w:w="1291" w:type="pct"/>
            <w:tcBorders>
              <w:right w:val="double" w:sz="4" w:space="0" w:color="auto"/>
            </w:tcBorders>
          </w:tcPr>
          <w:p w14:paraId="1ED356C9" w14:textId="77777777" w:rsidR="004B5C12" w:rsidRPr="001B7F57" w:rsidRDefault="004B5C12" w:rsidP="004B5C12">
            <w:pPr>
              <w:pStyle w:val="ListParagraph"/>
              <w:numPr>
                <w:ilvl w:val="0"/>
                <w:numId w:val="8"/>
              </w:numPr>
              <w:spacing w:after="0" w:line="240" w:lineRule="auto"/>
              <w:contextualSpacing w:val="0"/>
              <w:rPr>
                <w:rFonts w:asciiTheme="minorHAnsi" w:hAnsiTheme="minorHAnsi"/>
                <w:color w:val="4472C4" w:themeColor="accent1"/>
                <w:u w:val="single"/>
              </w:rPr>
            </w:pPr>
            <w:r w:rsidRPr="001B7F57">
              <w:rPr>
                <w:rFonts w:asciiTheme="minorHAnsi" w:hAnsiTheme="minorHAnsi"/>
                <w:color w:val="4472C4" w:themeColor="accent1"/>
                <w:u w:val="single"/>
              </w:rPr>
              <w:t>Freestanding (The limits specified in Section 175-109 N.4.a apply)</w:t>
            </w:r>
          </w:p>
        </w:tc>
        <w:tc>
          <w:tcPr>
            <w:tcW w:w="282" w:type="pct"/>
            <w:tcBorders>
              <w:left w:val="double" w:sz="4" w:space="0" w:color="auto"/>
            </w:tcBorders>
            <w:vAlign w:val="center"/>
          </w:tcPr>
          <w:p w14:paraId="2CB50CD3" w14:textId="77777777" w:rsidR="004B5C12" w:rsidRPr="001B7F57" w:rsidRDefault="004B5C12" w:rsidP="009447B8">
            <w:pPr>
              <w:rPr>
                <w:b/>
                <w:color w:val="4472C4" w:themeColor="accent1"/>
                <w:u w:val="single"/>
              </w:rPr>
            </w:pPr>
            <w:r w:rsidRPr="001B7F57">
              <w:rPr>
                <w:b/>
                <w:color w:val="4472C4" w:themeColor="accent1"/>
                <w:u w:val="single"/>
              </w:rPr>
              <w:t>P</w:t>
            </w:r>
          </w:p>
        </w:tc>
        <w:tc>
          <w:tcPr>
            <w:tcW w:w="282" w:type="pct"/>
            <w:vAlign w:val="center"/>
          </w:tcPr>
          <w:p w14:paraId="38B9D025"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vAlign w:val="center"/>
          </w:tcPr>
          <w:p w14:paraId="4B72FEF2"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7" w:type="pct"/>
            <w:tcBorders>
              <w:right w:val="single" w:sz="18" w:space="0" w:color="auto"/>
            </w:tcBorders>
            <w:vAlign w:val="center"/>
          </w:tcPr>
          <w:p w14:paraId="15AB6C26"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5" w:type="pct"/>
            <w:tcBorders>
              <w:left w:val="single" w:sz="18" w:space="0" w:color="auto"/>
            </w:tcBorders>
            <w:vAlign w:val="center"/>
          </w:tcPr>
          <w:p w14:paraId="6C60A64C"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vAlign w:val="center"/>
          </w:tcPr>
          <w:p w14:paraId="52D8B02A"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5DEB0D27"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vAlign w:val="center"/>
          </w:tcPr>
          <w:p w14:paraId="1D647F77"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4" w:type="pct"/>
            <w:tcBorders>
              <w:right w:val="single" w:sz="18" w:space="0" w:color="auto"/>
            </w:tcBorders>
            <w:vAlign w:val="center"/>
          </w:tcPr>
          <w:p w14:paraId="337ABA18"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83" w:type="pct"/>
            <w:tcBorders>
              <w:left w:val="single" w:sz="18" w:space="0" w:color="auto"/>
            </w:tcBorders>
            <w:vAlign w:val="center"/>
          </w:tcPr>
          <w:p w14:paraId="0641F799"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8" w:type="pct"/>
            <w:vAlign w:val="center"/>
          </w:tcPr>
          <w:p w14:paraId="2BC469FF"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260" w:type="pct"/>
            <w:vAlign w:val="center"/>
          </w:tcPr>
          <w:p w14:paraId="29232511" w14:textId="77777777" w:rsidR="004B5C12" w:rsidRPr="001B7F57" w:rsidRDefault="004B5C12" w:rsidP="009447B8">
            <w:pPr>
              <w:jc w:val="center"/>
              <w:rPr>
                <w:b/>
                <w:color w:val="4472C4" w:themeColor="accent1"/>
                <w:u w:val="single"/>
              </w:rPr>
            </w:pPr>
            <w:r w:rsidRPr="001B7F57">
              <w:rPr>
                <w:b/>
                <w:color w:val="4472C4" w:themeColor="accent1"/>
                <w:u w:val="single"/>
              </w:rPr>
              <w:t>P</w:t>
            </w:r>
          </w:p>
        </w:tc>
        <w:tc>
          <w:tcPr>
            <w:tcW w:w="304" w:type="pct"/>
            <w:vAlign w:val="center"/>
          </w:tcPr>
          <w:p w14:paraId="4451D751" w14:textId="77777777" w:rsidR="004B5C12" w:rsidRPr="001B7F57" w:rsidRDefault="004B5C12" w:rsidP="009447B8">
            <w:pPr>
              <w:jc w:val="center"/>
              <w:rPr>
                <w:b/>
                <w:color w:val="4472C4" w:themeColor="accent1"/>
                <w:u w:val="single"/>
              </w:rPr>
            </w:pPr>
            <w:r w:rsidRPr="001B7F57">
              <w:rPr>
                <w:b/>
                <w:color w:val="4472C4" w:themeColor="accent1"/>
                <w:u w:val="single"/>
              </w:rPr>
              <w:t>P</w:t>
            </w:r>
          </w:p>
        </w:tc>
      </w:tr>
    </w:tbl>
    <w:p w14:paraId="1EE9FA94" w14:textId="77777777" w:rsidR="004B5C12" w:rsidRPr="0049244A" w:rsidRDefault="004B5C12" w:rsidP="004B5C12">
      <w:r w:rsidRPr="0049244A">
        <w:br w:type="page"/>
      </w:r>
    </w:p>
    <w:p w14:paraId="113ECF7E" w14:textId="77777777" w:rsidR="004B5C12" w:rsidRPr="0049244A" w:rsidRDefault="004B5C12" w:rsidP="004B5C12">
      <w:pPr>
        <w:rPr>
          <w:sz w:val="25"/>
          <w:szCs w:val="25"/>
        </w:rPr>
        <w:sectPr w:rsidR="004B5C12" w:rsidRPr="0049244A" w:rsidSect="008A115F">
          <w:pgSz w:w="15840" w:h="12240" w:orient="landscape"/>
          <w:pgMar w:top="1152" w:right="1440" w:bottom="1354" w:left="1440" w:header="720" w:footer="720" w:gutter="0"/>
          <w:cols w:space="720"/>
          <w:docGrid w:linePitch="360"/>
        </w:sectPr>
      </w:pPr>
    </w:p>
    <w:p w14:paraId="31AAD271" w14:textId="77777777" w:rsidR="004B5C12" w:rsidRPr="0049244A" w:rsidRDefault="004B5C12" w:rsidP="004B5C12">
      <w:pPr>
        <w:rPr>
          <w:sz w:val="25"/>
          <w:szCs w:val="25"/>
        </w:rPr>
      </w:pPr>
    </w:p>
    <w:p w14:paraId="0157FF56" w14:textId="77777777" w:rsidR="004B5C12" w:rsidRPr="0049244A" w:rsidRDefault="004B5C12" w:rsidP="004B5C12">
      <w:pPr>
        <w:pStyle w:val="ListParagraph"/>
        <w:numPr>
          <w:ilvl w:val="0"/>
          <w:numId w:val="2"/>
        </w:numPr>
        <w:spacing w:after="0" w:line="240" w:lineRule="auto"/>
        <w:ind w:left="360"/>
        <w:contextualSpacing w:val="0"/>
        <w:rPr>
          <w:rFonts w:ascii="Times New Roman" w:hAnsi="Times New Roman"/>
          <w:b/>
          <w:i/>
          <w:sz w:val="25"/>
          <w:szCs w:val="25"/>
        </w:rPr>
      </w:pPr>
      <w:r w:rsidRPr="0049244A">
        <w:rPr>
          <w:rFonts w:ascii="Times New Roman" w:hAnsi="Times New Roman"/>
          <w:b/>
          <w:i/>
          <w:sz w:val="25"/>
          <w:szCs w:val="25"/>
        </w:rPr>
        <w:t>Modify the Wetland Conservation Overlay District and Shoreland Preservation Overlay District as follows:</w:t>
      </w:r>
    </w:p>
    <w:p w14:paraId="01A3285C" w14:textId="77777777" w:rsidR="00D55E1D" w:rsidRDefault="00D55E1D" w:rsidP="00BA1038">
      <w:pPr>
        <w:widowControl w:val="0"/>
        <w:suppressLineNumbers/>
        <w:ind w:left="1440" w:hanging="1440"/>
        <w:jc w:val="both"/>
        <w:rPr>
          <w:b/>
          <w:sz w:val="25"/>
          <w:szCs w:val="25"/>
        </w:rPr>
      </w:pPr>
    </w:p>
    <w:p w14:paraId="4C151D26" w14:textId="4043BC7F" w:rsidR="00BA1038" w:rsidRPr="00BA1038" w:rsidRDefault="00BA1038" w:rsidP="00BA1038">
      <w:pPr>
        <w:widowControl w:val="0"/>
        <w:suppressLineNumbers/>
        <w:ind w:left="1440" w:hanging="1440"/>
        <w:jc w:val="both"/>
        <w:rPr>
          <w:b/>
          <w:sz w:val="25"/>
          <w:szCs w:val="25"/>
        </w:rPr>
      </w:pPr>
      <w:r w:rsidRPr="00BA1038">
        <w:rPr>
          <w:b/>
          <w:sz w:val="25"/>
          <w:szCs w:val="25"/>
        </w:rPr>
        <w:t xml:space="preserve">175-60.  Permitted Uses in the WCOD. </w:t>
      </w:r>
    </w:p>
    <w:p w14:paraId="267B3B62" w14:textId="77777777" w:rsidR="00BA1038" w:rsidRPr="00BA1038" w:rsidRDefault="00BA1038" w:rsidP="00BA1038">
      <w:pPr>
        <w:widowControl w:val="0"/>
        <w:suppressLineNumbers/>
        <w:ind w:left="720" w:hanging="360"/>
        <w:jc w:val="both"/>
        <w:rPr>
          <w:sz w:val="25"/>
          <w:szCs w:val="25"/>
        </w:rPr>
      </w:pPr>
      <w:r w:rsidRPr="00BA1038">
        <w:rPr>
          <w:sz w:val="25"/>
          <w:szCs w:val="25"/>
        </w:rPr>
        <w:t>A.</w:t>
      </w:r>
      <w:r w:rsidRPr="00BA1038">
        <w:rPr>
          <w:sz w:val="25"/>
          <w:szCs w:val="25"/>
        </w:rPr>
        <w:tab/>
        <w:t>Notwithstanding the uses permitted in the underlying zoning district, the following uses shall be allowed without a permit in the WCOD provided that they do not alter the surface condition or configuration of the land by the addition of fill, do not obstruct or alter the natural flow or infiltration of surface water, and comply with the regulations of WCOD:</w:t>
      </w:r>
    </w:p>
    <w:p w14:paraId="60A1EF5F" w14:textId="77777777" w:rsidR="00BA1038" w:rsidRPr="00BA1038" w:rsidRDefault="00BA1038" w:rsidP="00BA1038">
      <w:pPr>
        <w:widowControl w:val="0"/>
        <w:suppressLineNumbers/>
        <w:ind w:left="360"/>
        <w:jc w:val="both"/>
        <w:rPr>
          <w:sz w:val="25"/>
          <w:szCs w:val="25"/>
        </w:rPr>
      </w:pPr>
    </w:p>
    <w:p w14:paraId="3F69085F" w14:textId="77777777" w:rsidR="00BA1038" w:rsidRPr="00BA1038" w:rsidRDefault="00BA1038" w:rsidP="00BA1038">
      <w:pPr>
        <w:widowControl w:val="0"/>
        <w:suppressLineNumbers/>
        <w:ind w:left="1080"/>
        <w:jc w:val="both"/>
        <w:rPr>
          <w:sz w:val="25"/>
          <w:szCs w:val="25"/>
        </w:rPr>
      </w:pPr>
      <w:r w:rsidRPr="00BA1038">
        <w:rPr>
          <w:sz w:val="25"/>
          <w:szCs w:val="25"/>
        </w:rPr>
        <w:t>1. The planting of native or naturalized species and wetland vegetation as identified in “The United States Fish and Wildlife Service National List of Plant Species that Occur in Wetlands: New Hampshire” within a wetland and native or non-native, non-invasive vegetation in the upland buffer in conjunction with the landscaping of lot;</w:t>
      </w:r>
    </w:p>
    <w:p w14:paraId="3B72FDD4" w14:textId="77777777" w:rsidR="00BA1038" w:rsidRPr="00BA1038" w:rsidRDefault="00BA1038" w:rsidP="00BA1038">
      <w:pPr>
        <w:widowControl w:val="0"/>
        <w:suppressLineNumbers/>
        <w:ind w:left="1080"/>
        <w:jc w:val="both"/>
        <w:rPr>
          <w:sz w:val="25"/>
          <w:szCs w:val="25"/>
        </w:rPr>
      </w:pPr>
      <w:r w:rsidRPr="00BA1038">
        <w:rPr>
          <w:sz w:val="25"/>
          <w:szCs w:val="25"/>
        </w:rPr>
        <w:t>2. The installation and observation of monitoring wells;</w:t>
      </w:r>
    </w:p>
    <w:p w14:paraId="45807546" w14:textId="77777777" w:rsidR="00BA1038" w:rsidRPr="00BA1038" w:rsidRDefault="00BA1038" w:rsidP="00BA1038">
      <w:pPr>
        <w:widowControl w:val="0"/>
        <w:suppressLineNumbers/>
        <w:ind w:left="1080"/>
        <w:jc w:val="both"/>
        <w:rPr>
          <w:sz w:val="25"/>
          <w:szCs w:val="25"/>
        </w:rPr>
      </w:pPr>
      <w:r w:rsidRPr="00BA1038">
        <w:rPr>
          <w:sz w:val="25"/>
          <w:szCs w:val="25"/>
        </w:rPr>
        <w:t>3. Conservation activities;</w:t>
      </w:r>
    </w:p>
    <w:p w14:paraId="6C1FCE4D" w14:textId="77777777" w:rsidR="00BA1038" w:rsidRPr="00BA1038" w:rsidRDefault="00BA1038" w:rsidP="00BA1038">
      <w:pPr>
        <w:widowControl w:val="0"/>
        <w:suppressLineNumbers/>
        <w:ind w:left="1080"/>
        <w:jc w:val="both"/>
        <w:rPr>
          <w:sz w:val="25"/>
          <w:szCs w:val="25"/>
        </w:rPr>
      </w:pPr>
      <w:r w:rsidRPr="00BA1038">
        <w:rPr>
          <w:sz w:val="25"/>
          <w:szCs w:val="25"/>
        </w:rPr>
        <w:t>4. Accessory agriculture subject to the performance standards of 175-65.C;</w:t>
      </w:r>
    </w:p>
    <w:p w14:paraId="1B3A51F1" w14:textId="77777777" w:rsidR="00BA1038" w:rsidRPr="00BA1038" w:rsidRDefault="00BA1038" w:rsidP="00BA1038">
      <w:pPr>
        <w:widowControl w:val="0"/>
        <w:suppressLineNumbers/>
        <w:ind w:left="1080"/>
        <w:jc w:val="both"/>
        <w:rPr>
          <w:sz w:val="25"/>
          <w:szCs w:val="25"/>
        </w:rPr>
      </w:pPr>
      <w:r w:rsidRPr="00BA1038">
        <w:rPr>
          <w:sz w:val="25"/>
          <w:szCs w:val="25"/>
        </w:rPr>
        <w:t>5. The removal of dead, diseased, unsafe, or fallen trees;</w:t>
      </w:r>
    </w:p>
    <w:p w14:paraId="276648AB" w14:textId="77777777" w:rsidR="00BA1038" w:rsidRPr="00BA1038" w:rsidRDefault="00BA1038" w:rsidP="00BA1038">
      <w:pPr>
        <w:widowControl w:val="0"/>
        <w:suppressLineNumbers/>
        <w:tabs>
          <w:tab w:val="num" w:pos="2790"/>
        </w:tabs>
        <w:ind w:left="1080"/>
        <w:jc w:val="both"/>
        <w:rPr>
          <w:sz w:val="25"/>
          <w:szCs w:val="25"/>
        </w:rPr>
      </w:pPr>
      <w:r w:rsidRPr="00BA1038">
        <w:rPr>
          <w:sz w:val="25"/>
          <w:szCs w:val="25"/>
        </w:rPr>
        <w:t>6. The maintenance of existing vegetation including shrubs, lawns, and fields except as provided in 175-65.A.</w:t>
      </w:r>
    </w:p>
    <w:p w14:paraId="19FE91DA" w14:textId="77777777" w:rsidR="00BA1038" w:rsidRPr="00BA1038" w:rsidRDefault="00BA1038" w:rsidP="00BA1038">
      <w:pPr>
        <w:widowControl w:val="0"/>
        <w:suppressLineNumbers/>
        <w:tabs>
          <w:tab w:val="num" w:pos="2790"/>
        </w:tabs>
        <w:ind w:left="1080"/>
        <w:jc w:val="both"/>
        <w:rPr>
          <w:sz w:val="25"/>
          <w:szCs w:val="25"/>
        </w:rPr>
      </w:pPr>
      <w:r w:rsidRPr="00BA1038">
        <w:rPr>
          <w:sz w:val="25"/>
          <w:szCs w:val="25"/>
        </w:rPr>
        <w:t>7. Forestry in accordance with Performance Standard 175-65.D.</w:t>
      </w:r>
    </w:p>
    <w:p w14:paraId="562E27D8" w14:textId="77777777" w:rsidR="00BA1038" w:rsidRPr="00BA1038" w:rsidRDefault="00BA1038" w:rsidP="00BA1038">
      <w:pPr>
        <w:widowControl w:val="0"/>
        <w:suppressLineNumbers/>
        <w:tabs>
          <w:tab w:val="num" w:pos="2790"/>
        </w:tabs>
        <w:ind w:left="1080"/>
        <w:jc w:val="both"/>
        <w:rPr>
          <w:sz w:val="25"/>
          <w:szCs w:val="25"/>
        </w:rPr>
      </w:pPr>
      <w:r w:rsidRPr="00BA1038">
        <w:rPr>
          <w:sz w:val="25"/>
          <w:szCs w:val="25"/>
        </w:rPr>
        <w:t>8. A pier or dock, including the replacement or expansion of an existing pier or dock, provided the structure is approved by the appropriate state agency (Otherwise it is considered a conditional use).</w:t>
      </w:r>
    </w:p>
    <w:p w14:paraId="43BB6688" w14:textId="13FB896E" w:rsidR="00BA1038" w:rsidRPr="00BA1038" w:rsidRDefault="00BA1038" w:rsidP="00BA1038">
      <w:pPr>
        <w:widowControl w:val="0"/>
        <w:suppressLineNumbers/>
        <w:tabs>
          <w:tab w:val="num" w:pos="2790"/>
        </w:tabs>
        <w:ind w:left="1080"/>
        <w:jc w:val="both"/>
        <w:rPr>
          <w:sz w:val="25"/>
          <w:szCs w:val="25"/>
        </w:rPr>
      </w:pPr>
      <w:r w:rsidRPr="00BA1038">
        <w:rPr>
          <w:sz w:val="25"/>
          <w:szCs w:val="25"/>
        </w:rPr>
        <w:t>9. The maintenance of an existing pier or dock.</w:t>
      </w:r>
    </w:p>
    <w:p w14:paraId="69F81F9C" w14:textId="77777777" w:rsidR="00AB52B3" w:rsidRPr="00AB52B3" w:rsidRDefault="00BA1038" w:rsidP="00AB52B3">
      <w:pPr>
        <w:ind w:left="1080"/>
        <w:rPr>
          <w:color w:val="0070C0"/>
          <w:sz w:val="25"/>
          <w:szCs w:val="25"/>
          <w:u w:val="single"/>
        </w:rPr>
      </w:pPr>
      <w:r w:rsidRPr="00AB52B3">
        <w:rPr>
          <w:color w:val="4472C4" w:themeColor="accent1"/>
          <w:sz w:val="25"/>
          <w:szCs w:val="25"/>
          <w:u w:val="single"/>
        </w:rPr>
        <w:t>10.</w:t>
      </w:r>
      <w:r w:rsidR="00AB52B3" w:rsidRPr="00AB52B3">
        <w:rPr>
          <w:color w:val="4472C4" w:themeColor="accent1"/>
          <w:sz w:val="25"/>
          <w:szCs w:val="25"/>
          <w:u w:val="single"/>
        </w:rPr>
        <w:t xml:space="preserve"> </w:t>
      </w:r>
      <w:r w:rsidR="00AB52B3" w:rsidRPr="00AB52B3">
        <w:rPr>
          <w:color w:val="0070C0"/>
          <w:sz w:val="25"/>
          <w:szCs w:val="25"/>
          <w:u w:val="single"/>
        </w:rPr>
        <w:t>A solar-energy system mounted on a building, where the building is pre-existing or otherwise approved (separate from the solar-energy system).</w:t>
      </w:r>
    </w:p>
    <w:p w14:paraId="33D3EED1" w14:textId="6EE18BBF" w:rsidR="00BA1038" w:rsidRPr="00BA1038" w:rsidRDefault="00BA1038" w:rsidP="00BA1038">
      <w:pPr>
        <w:widowControl w:val="0"/>
        <w:suppressLineNumbers/>
        <w:tabs>
          <w:tab w:val="num" w:pos="2790"/>
        </w:tabs>
        <w:ind w:left="990"/>
        <w:jc w:val="both"/>
        <w:rPr>
          <w:color w:val="4472C4" w:themeColor="accent1"/>
          <w:szCs w:val="24"/>
          <w:u w:val="single"/>
        </w:rPr>
      </w:pPr>
    </w:p>
    <w:p w14:paraId="161FE3B3" w14:textId="77777777" w:rsidR="00BA1038" w:rsidRPr="00BA1038" w:rsidRDefault="00BA1038" w:rsidP="00BA1038">
      <w:pPr>
        <w:widowControl w:val="0"/>
        <w:suppressLineNumbers/>
        <w:jc w:val="both"/>
        <w:rPr>
          <w:b/>
          <w:sz w:val="25"/>
          <w:szCs w:val="25"/>
          <w:u w:val="single"/>
        </w:rPr>
      </w:pPr>
      <w:r w:rsidRPr="00BA1038">
        <w:rPr>
          <w:b/>
          <w:sz w:val="25"/>
          <w:szCs w:val="25"/>
        </w:rPr>
        <w:t>175-62.  Prohibited Uses in the WCOD.</w:t>
      </w:r>
    </w:p>
    <w:p w14:paraId="1F085821" w14:textId="5D936A5F" w:rsidR="00BA1038" w:rsidRPr="00BA1038" w:rsidRDefault="00BA1038" w:rsidP="00BA1038">
      <w:pPr>
        <w:widowControl w:val="0"/>
        <w:suppressLineNumbers/>
        <w:jc w:val="both"/>
        <w:rPr>
          <w:sz w:val="25"/>
          <w:szCs w:val="25"/>
        </w:rPr>
      </w:pPr>
      <w:r w:rsidRPr="00BA1038">
        <w:rPr>
          <w:sz w:val="25"/>
          <w:szCs w:val="25"/>
        </w:rPr>
        <w:t xml:space="preserve">Any use that is not identified as a permitted use in 175-60 or a conditional use in 175-61 shall be a prohibited use.  </w:t>
      </w:r>
      <w:r w:rsidRPr="00BA1038">
        <w:rPr>
          <w:bCs/>
          <w:iCs/>
          <w:color w:val="4472C4" w:themeColor="accent1"/>
          <w:sz w:val="25"/>
          <w:szCs w:val="25"/>
          <w:u w:val="single"/>
        </w:rPr>
        <w:t>Freestanding so</w:t>
      </w:r>
      <w:r w:rsidR="003E6E38">
        <w:rPr>
          <w:bCs/>
          <w:iCs/>
          <w:color w:val="4472C4" w:themeColor="accent1"/>
          <w:sz w:val="25"/>
          <w:szCs w:val="25"/>
          <w:u w:val="single"/>
        </w:rPr>
        <w:t>l</w:t>
      </w:r>
      <w:r w:rsidRPr="00BA1038">
        <w:rPr>
          <w:bCs/>
          <w:iCs/>
          <w:color w:val="4472C4" w:themeColor="accent1"/>
          <w:sz w:val="25"/>
          <w:szCs w:val="25"/>
          <w:u w:val="single"/>
        </w:rPr>
        <w:t>ar energy systems are prohibited in the WCOD.</w:t>
      </w:r>
    </w:p>
    <w:p w14:paraId="66CF0FE9" w14:textId="77777777" w:rsidR="00F00627" w:rsidRDefault="00F00627" w:rsidP="00BA1038">
      <w:pPr>
        <w:suppressLineNumbers/>
        <w:rPr>
          <w:b/>
          <w:sz w:val="25"/>
          <w:szCs w:val="25"/>
        </w:rPr>
      </w:pPr>
    </w:p>
    <w:p w14:paraId="48BACB88" w14:textId="6B6A4467" w:rsidR="00BA1038" w:rsidRPr="00BA1038" w:rsidRDefault="00BA1038" w:rsidP="00BA1038">
      <w:pPr>
        <w:suppressLineNumbers/>
        <w:rPr>
          <w:b/>
          <w:sz w:val="25"/>
          <w:szCs w:val="25"/>
        </w:rPr>
      </w:pPr>
      <w:r w:rsidRPr="00BA1038">
        <w:rPr>
          <w:b/>
          <w:sz w:val="25"/>
          <w:szCs w:val="25"/>
        </w:rPr>
        <w:t>175-71.  Permitted Uses in the SPOD.</w:t>
      </w:r>
    </w:p>
    <w:p w14:paraId="5F52F373" w14:textId="77777777" w:rsidR="00BA1038" w:rsidRPr="00BA1038" w:rsidRDefault="00BA1038" w:rsidP="00BA1038">
      <w:pPr>
        <w:suppressLineNumbers/>
        <w:ind w:left="720" w:hanging="360"/>
        <w:jc w:val="both"/>
        <w:rPr>
          <w:b/>
          <w:sz w:val="25"/>
          <w:szCs w:val="25"/>
        </w:rPr>
      </w:pPr>
      <w:r w:rsidRPr="00BA1038">
        <w:rPr>
          <w:sz w:val="25"/>
          <w:szCs w:val="25"/>
        </w:rPr>
        <w:t>A.</w:t>
      </w:r>
      <w:r w:rsidRPr="00BA1038">
        <w:rPr>
          <w:sz w:val="25"/>
          <w:szCs w:val="25"/>
        </w:rPr>
        <w:tab/>
        <w:t>Notwithstanding the uses permitted in the underlying zoning district, the following uses shall be allowed without a permit in the SPOD provided they do not alter the surface condition or configuration of the land, do not obstruct or alter the natural flow or infiltration of surface or ground water, and comply with the regulations of the SPOD:</w:t>
      </w:r>
    </w:p>
    <w:p w14:paraId="0C526F5A" w14:textId="77777777" w:rsidR="00BA1038" w:rsidRPr="00BA1038" w:rsidRDefault="00BA1038" w:rsidP="00BA1038">
      <w:pPr>
        <w:widowControl w:val="0"/>
        <w:suppressLineNumbers/>
        <w:jc w:val="both"/>
        <w:rPr>
          <w:sz w:val="25"/>
          <w:szCs w:val="25"/>
          <w:u w:val="single"/>
        </w:rPr>
      </w:pPr>
    </w:p>
    <w:p w14:paraId="51868ABD" w14:textId="77777777" w:rsidR="00BA1038" w:rsidRPr="00BA1038" w:rsidRDefault="00BA1038" w:rsidP="003E6E38">
      <w:pPr>
        <w:widowControl w:val="0"/>
        <w:numPr>
          <w:ilvl w:val="0"/>
          <w:numId w:val="15"/>
        </w:numPr>
        <w:suppressLineNumbers/>
        <w:jc w:val="both"/>
        <w:rPr>
          <w:sz w:val="25"/>
          <w:szCs w:val="25"/>
        </w:rPr>
      </w:pPr>
      <w:r w:rsidRPr="00BA1038">
        <w:rPr>
          <w:sz w:val="25"/>
          <w:szCs w:val="25"/>
        </w:rPr>
        <w:t>The planting of native or naturalized species and wetland vegetation as identified in “The United States Fish and Wildlife Service National List of Plant Species that Occur in Wetlands: New Hampshire” and other native or non-native, non-invasive vegetation in conjunction with the landscaping of a lot;</w:t>
      </w:r>
    </w:p>
    <w:p w14:paraId="31855398" w14:textId="77777777" w:rsidR="00BA1038" w:rsidRPr="00BA1038" w:rsidRDefault="00BA1038" w:rsidP="003E6E38">
      <w:pPr>
        <w:widowControl w:val="0"/>
        <w:numPr>
          <w:ilvl w:val="0"/>
          <w:numId w:val="15"/>
        </w:numPr>
        <w:suppressLineNumbers/>
        <w:jc w:val="both"/>
        <w:rPr>
          <w:sz w:val="25"/>
          <w:szCs w:val="25"/>
        </w:rPr>
      </w:pPr>
      <w:r w:rsidRPr="00BA1038">
        <w:rPr>
          <w:sz w:val="25"/>
          <w:szCs w:val="25"/>
        </w:rPr>
        <w:t>The installation and observation of monitoring wells;</w:t>
      </w:r>
    </w:p>
    <w:p w14:paraId="62E4CD60" w14:textId="77777777" w:rsidR="00BA1038" w:rsidRPr="00BA1038" w:rsidRDefault="00BA1038" w:rsidP="003E6E38">
      <w:pPr>
        <w:widowControl w:val="0"/>
        <w:numPr>
          <w:ilvl w:val="0"/>
          <w:numId w:val="15"/>
        </w:numPr>
        <w:suppressLineNumbers/>
        <w:jc w:val="both"/>
        <w:rPr>
          <w:sz w:val="25"/>
          <w:szCs w:val="25"/>
        </w:rPr>
      </w:pPr>
      <w:r w:rsidRPr="00BA1038">
        <w:rPr>
          <w:sz w:val="25"/>
          <w:szCs w:val="25"/>
        </w:rPr>
        <w:lastRenderedPageBreak/>
        <w:t>Conservation activities;</w:t>
      </w:r>
    </w:p>
    <w:p w14:paraId="7EA7CFEF" w14:textId="77777777" w:rsidR="00BA1038" w:rsidRPr="00BA1038" w:rsidRDefault="00BA1038" w:rsidP="003E6E38">
      <w:pPr>
        <w:widowControl w:val="0"/>
        <w:numPr>
          <w:ilvl w:val="0"/>
          <w:numId w:val="15"/>
        </w:numPr>
        <w:suppressLineNumbers/>
        <w:jc w:val="both"/>
        <w:rPr>
          <w:sz w:val="25"/>
          <w:szCs w:val="25"/>
        </w:rPr>
      </w:pPr>
      <w:r w:rsidRPr="00BA1038">
        <w:rPr>
          <w:sz w:val="25"/>
          <w:szCs w:val="25"/>
        </w:rPr>
        <w:t>Accessory agriculture subject to the performance standards of 175-75.1. A and B;</w:t>
      </w:r>
    </w:p>
    <w:p w14:paraId="06E111E4" w14:textId="77777777" w:rsidR="00BA1038" w:rsidRPr="00BA1038" w:rsidRDefault="00BA1038" w:rsidP="003E6E38">
      <w:pPr>
        <w:widowControl w:val="0"/>
        <w:numPr>
          <w:ilvl w:val="0"/>
          <w:numId w:val="15"/>
        </w:numPr>
        <w:suppressLineNumbers/>
        <w:jc w:val="both"/>
        <w:rPr>
          <w:sz w:val="25"/>
          <w:szCs w:val="25"/>
        </w:rPr>
      </w:pPr>
      <w:r w:rsidRPr="00BA1038">
        <w:rPr>
          <w:sz w:val="25"/>
          <w:szCs w:val="25"/>
        </w:rPr>
        <w:t>The removal of dead, diseased, unsafe or fallen trees;</w:t>
      </w:r>
    </w:p>
    <w:p w14:paraId="03781A4B" w14:textId="77777777" w:rsidR="00BA1038" w:rsidRPr="00BA1038" w:rsidRDefault="00BA1038" w:rsidP="003E6E38">
      <w:pPr>
        <w:widowControl w:val="0"/>
        <w:numPr>
          <w:ilvl w:val="0"/>
          <w:numId w:val="15"/>
        </w:numPr>
        <w:suppressLineNumbers/>
        <w:jc w:val="both"/>
        <w:rPr>
          <w:sz w:val="25"/>
          <w:szCs w:val="25"/>
        </w:rPr>
      </w:pPr>
      <w:r w:rsidRPr="00BA1038">
        <w:rPr>
          <w:sz w:val="25"/>
          <w:szCs w:val="25"/>
        </w:rPr>
        <w:t>The maintenance of existing vegetation including shrubs, lawns, and fields, except as provided in 175-75.1, A.</w:t>
      </w:r>
    </w:p>
    <w:p w14:paraId="31956725" w14:textId="77777777" w:rsidR="00BA1038" w:rsidRPr="00BA1038" w:rsidRDefault="00BA1038" w:rsidP="003E6E38">
      <w:pPr>
        <w:widowControl w:val="0"/>
        <w:numPr>
          <w:ilvl w:val="0"/>
          <w:numId w:val="15"/>
        </w:numPr>
        <w:suppressLineNumbers/>
        <w:jc w:val="both"/>
        <w:rPr>
          <w:sz w:val="25"/>
          <w:szCs w:val="25"/>
        </w:rPr>
      </w:pPr>
      <w:r w:rsidRPr="00BA1038">
        <w:rPr>
          <w:sz w:val="25"/>
          <w:szCs w:val="25"/>
        </w:rPr>
        <w:t>Forestry in accordance with Performance Standard 175-75.1.C.</w:t>
      </w:r>
    </w:p>
    <w:p w14:paraId="4BA2BD40" w14:textId="77777777" w:rsidR="00BA1038" w:rsidRPr="00BA1038" w:rsidRDefault="00BA1038" w:rsidP="003E6E38">
      <w:pPr>
        <w:widowControl w:val="0"/>
        <w:numPr>
          <w:ilvl w:val="0"/>
          <w:numId w:val="15"/>
        </w:numPr>
        <w:suppressLineNumbers/>
        <w:jc w:val="both"/>
        <w:rPr>
          <w:sz w:val="25"/>
          <w:szCs w:val="25"/>
        </w:rPr>
      </w:pPr>
      <w:r w:rsidRPr="00BA1038">
        <w:rPr>
          <w:sz w:val="25"/>
          <w:szCs w:val="25"/>
        </w:rPr>
        <w:t>A pier or dock, including the replacement or expansion of an existing pier or dock, provided the structure is approved by the appropriate state agency (Otherwise it is considered a conditional use).</w:t>
      </w:r>
    </w:p>
    <w:p w14:paraId="3D430CAD" w14:textId="77777777" w:rsidR="00BA1038" w:rsidRPr="00BA1038" w:rsidRDefault="00BA1038" w:rsidP="003E6E38">
      <w:pPr>
        <w:widowControl w:val="0"/>
        <w:numPr>
          <w:ilvl w:val="0"/>
          <w:numId w:val="15"/>
        </w:numPr>
        <w:suppressLineNumbers/>
        <w:jc w:val="both"/>
        <w:rPr>
          <w:sz w:val="25"/>
          <w:szCs w:val="25"/>
        </w:rPr>
      </w:pPr>
      <w:r w:rsidRPr="00BA1038">
        <w:rPr>
          <w:sz w:val="25"/>
          <w:szCs w:val="25"/>
        </w:rPr>
        <w:t>The maintenance of an existing pier or dock.</w:t>
      </w:r>
    </w:p>
    <w:p w14:paraId="504A2D2D" w14:textId="214FB52A" w:rsidR="00BA1038" w:rsidRPr="00BA1038" w:rsidRDefault="00BA1038" w:rsidP="003E6E38">
      <w:pPr>
        <w:widowControl w:val="0"/>
        <w:numPr>
          <w:ilvl w:val="0"/>
          <w:numId w:val="15"/>
        </w:numPr>
        <w:suppressLineNumbers/>
        <w:jc w:val="both"/>
        <w:rPr>
          <w:sz w:val="25"/>
          <w:szCs w:val="25"/>
        </w:rPr>
      </w:pPr>
      <w:r w:rsidRPr="00BA1038">
        <w:rPr>
          <w:sz w:val="25"/>
          <w:szCs w:val="25"/>
        </w:rPr>
        <w:t>Aquaculture.</w:t>
      </w:r>
    </w:p>
    <w:p w14:paraId="21067A0C" w14:textId="77777777" w:rsidR="009D24E8" w:rsidRPr="009D24E8" w:rsidRDefault="009D24E8" w:rsidP="009D24E8">
      <w:pPr>
        <w:pStyle w:val="ListParagraph"/>
        <w:numPr>
          <w:ilvl w:val="0"/>
          <w:numId w:val="15"/>
        </w:numPr>
        <w:rPr>
          <w:rFonts w:ascii="Times New Roman" w:hAnsi="Times New Roman"/>
          <w:color w:val="0070C0"/>
          <w:sz w:val="25"/>
          <w:szCs w:val="25"/>
          <w:u w:val="single"/>
        </w:rPr>
      </w:pPr>
      <w:r w:rsidRPr="009D24E8">
        <w:rPr>
          <w:rFonts w:ascii="Times New Roman" w:hAnsi="Times New Roman"/>
          <w:color w:val="0070C0"/>
          <w:sz w:val="25"/>
          <w:szCs w:val="25"/>
          <w:u w:val="single"/>
        </w:rPr>
        <w:t>A solar-energy system mounted on a building, where the building is pre-existing or otherwise approved (separate from the solar-energy system).</w:t>
      </w:r>
    </w:p>
    <w:p w14:paraId="30C977FE" w14:textId="77777777" w:rsidR="003E6E38" w:rsidRPr="003E6E38" w:rsidRDefault="003E6E38" w:rsidP="003E6E38">
      <w:pPr>
        <w:widowControl w:val="0"/>
        <w:suppressLineNumbers/>
        <w:ind w:left="1440" w:hanging="1440"/>
        <w:jc w:val="both"/>
        <w:rPr>
          <w:sz w:val="25"/>
          <w:szCs w:val="25"/>
        </w:rPr>
      </w:pPr>
      <w:r w:rsidRPr="003E6E38">
        <w:rPr>
          <w:b/>
          <w:sz w:val="25"/>
          <w:szCs w:val="25"/>
        </w:rPr>
        <w:t>175-73.  Prohibited Uses in the SPOD.</w:t>
      </w:r>
    </w:p>
    <w:p w14:paraId="5AB5507D" w14:textId="77777777" w:rsidR="003E6E38" w:rsidRPr="003E6E38" w:rsidRDefault="003E6E38" w:rsidP="003E6E38">
      <w:pPr>
        <w:widowControl w:val="0"/>
        <w:suppressLineNumbers/>
        <w:ind w:left="360"/>
        <w:jc w:val="both"/>
        <w:rPr>
          <w:sz w:val="25"/>
          <w:szCs w:val="25"/>
        </w:rPr>
      </w:pPr>
      <w:r w:rsidRPr="003E6E38">
        <w:rPr>
          <w:sz w:val="25"/>
          <w:szCs w:val="25"/>
        </w:rPr>
        <w:t>Any use that is not identified as a permitted use in 175-71 or a conditional use in 175-72 shall be a prohibited use.  Notwithstanding this limitation, the erection of a structure or septic system on an existing lot within the SPOD may be permitted by special exception in accordance with the provisions and standards of 175-29.B.</w:t>
      </w:r>
    </w:p>
    <w:p w14:paraId="78DDAEB0" w14:textId="77777777" w:rsidR="003E6E38" w:rsidRPr="003E6E38" w:rsidRDefault="003E6E38" w:rsidP="003E6E38">
      <w:pPr>
        <w:widowControl w:val="0"/>
        <w:suppressLineNumbers/>
        <w:jc w:val="both"/>
        <w:rPr>
          <w:sz w:val="25"/>
          <w:szCs w:val="25"/>
        </w:rPr>
      </w:pPr>
    </w:p>
    <w:p w14:paraId="6B8389A0" w14:textId="77777777" w:rsidR="003E6E38" w:rsidRPr="003E6E38" w:rsidRDefault="003E6E38" w:rsidP="003E6E38">
      <w:pPr>
        <w:widowControl w:val="0"/>
        <w:suppressLineNumbers/>
        <w:ind w:left="360"/>
        <w:jc w:val="both"/>
        <w:rPr>
          <w:sz w:val="25"/>
          <w:szCs w:val="25"/>
        </w:rPr>
      </w:pPr>
      <w:r w:rsidRPr="003E6E38">
        <w:rPr>
          <w:sz w:val="25"/>
          <w:szCs w:val="25"/>
        </w:rPr>
        <w:t>The following uses are deemed to pose a particular threat to the water quality of the adjacent shoreland or waterbody or downstream waterbodies and are prohibited in the SPOD even if they are permitted or conditional uses in the underlying zoning district:</w:t>
      </w:r>
    </w:p>
    <w:p w14:paraId="3043AA59" w14:textId="77777777" w:rsidR="003E6E38" w:rsidRPr="003E6E38" w:rsidRDefault="003E6E38" w:rsidP="003E6E38">
      <w:pPr>
        <w:widowControl w:val="0"/>
        <w:suppressLineNumbers/>
        <w:jc w:val="both"/>
        <w:rPr>
          <w:sz w:val="25"/>
          <w:szCs w:val="25"/>
        </w:rPr>
      </w:pPr>
    </w:p>
    <w:p w14:paraId="2EEAEF7A" w14:textId="77777777" w:rsidR="003E6E38" w:rsidRPr="003E6E38" w:rsidRDefault="003E6E38" w:rsidP="003E6E38">
      <w:pPr>
        <w:widowControl w:val="0"/>
        <w:numPr>
          <w:ilvl w:val="1"/>
          <w:numId w:val="16"/>
        </w:numPr>
        <w:suppressLineNumbers/>
        <w:jc w:val="both"/>
        <w:rPr>
          <w:sz w:val="25"/>
          <w:szCs w:val="25"/>
        </w:rPr>
      </w:pPr>
      <w:r w:rsidRPr="003E6E38">
        <w:rPr>
          <w:sz w:val="25"/>
          <w:szCs w:val="25"/>
        </w:rPr>
        <w:t>the establishment or expansion of salt storage yards;</w:t>
      </w:r>
    </w:p>
    <w:p w14:paraId="05F1D851" w14:textId="77777777" w:rsidR="003E6E38" w:rsidRPr="003E6E38" w:rsidRDefault="003E6E38" w:rsidP="003E6E38">
      <w:pPr>
        <w:widowControl w:val="0"/>
        <w:numPr>
          <w:ilvl w:val="1"/>
          <w:numId w:val="16"/>
        </w:numPr>
        <w:suppressLineNumbers/>
        <w:jc w:val="both"/>
        <w:rPr>
          <w:sz w:val="25"/>
          <w:szCs w:val="25"/>
        </w:rPr>
      </w:pPr>
      <w:r w:rsidRPr="003E6E38">
        <w:rPr>
          <w:sz w:val="25"/>
          <w:szCs w:val="25"/>
        </w:rPr>
        <w:t>automotive junk or salvage yards;</w:t>
      </w:r>
    </w:p>
    <w:p w14:paraId="2A04495C" w14:textId="77777777" w:rsidR="003E6E38" w:rsidRPr="003E6E38" w:rsidRDefault="003E6E38" w:rsidP="003E6E38">
      <w:pPr>
        <w:widowControl w:val="0"/>
        <w:numPr>
          <w:ilvl w:val="1"/>
          <w:numId w:val="16"/>
        </w:numPr>
        <w:suppressLineNumbers/>
        <w:jc w:val="both"/>
        <w:rPr>
          <w:sz w:val="25"/>
          <w:szCs w:val="25"/>
        </w:rPr>
      </w:pPr>
      <w:r w:rsidRPr="003E6E38">
        <w:rPr>
          <w:sz w:val="25"/>
          <w:szCs w:val="25"/>
        </w:rPr>
        <w:t xml:space="preserve"> the storage or handling of hazardous wastes;</w:t>
      </w:r>
    </w:p>
    <w:p w14:paraId="017F0F2A" w14:textId="77777777" w:rsidR="003E6E38" w:rsidRPr="003E6E38" w:rsidRDefault="003E6E38" w:rsidP="003E6E38">
      <w:pPr>
        <w:widowControl w:val="0"/>
        <w:numPr>
          <w:ilvl w:val="1"/>
          <w:numId w:val="16"/>
        </w:numPr>
        <w:suppressLineNumbers/>
        <w:jc w:val="both"/>
        <w:rPr>
          <w:sz w:val="25"/>
          <w:szCs w:val="25"/>
        </w:rPr>
      </w:pPr>
      <w:r w:rsidRPr="003E6E38">
        <w:rPr>
          <w:sz w:val="25"/>
          <w:szCs w:val="25"/>
        </w:rPr>
        <w:t>the bulk storage of chemicals, petroleum products, or hazardous materials;</w:t>
      </w:r>
    </w:p>
    <w:p w14:paraId="02756F57" w14:textId="77777777" w:rsidR="003E6E38" w:rsidRPr="003E6E38" w:rsidRDefault="003E6E38" w:rsidP="003E6E38">
      <w:pPr>
        <w:widowControl w:val="0"/>
        <w:numPr>
          <w:ilvl w:val="1"/>
          <w:numId w:val="16"/>
        </w:numPr>
        <w:suppressLineNumbers/>
        <w:jc w:val="both"/>
        <w:rPr>
          <w:sz w:val="25"/>
          <w:szCs w:val="25"/>
        </w:rPr>
      </w:pPr>
      <w:r w:rsidRPr="003E6E38">
        <w:rPr>
          <w:sz w:val="25"/>
          <w:szCs w:val="25"/>
        </w:rPr>
        <w:t>use of any fertilizer, pesticide, or herbicide except in conjunction with</w:t>
      </w:r>
      <w:r w:rsidRPr="003E6E38">
        <w:rPr>
          <w:sz w:val="25"/>
          <w:szCs w:val="25"/>
          <w:u w:val="single"/>
        </w:rPr>
        <w:t xml:space="preserve"> </w:t>
      </w:r>
      <w:r w:rsidRPr="003E6E38">
        <w:rPr>
          <w:sz w:val="25"/>
          <w:szCs w:val="25"/>
        </w:rPr>
        <w:t>accessory or commercial agriculture as provided for in 175-75.1. B.;</w:t>
      </w:r>
    </w:p>
    <w:p w14:paraId="6E3D0F1B" w14:textId="77777777" w:rsidR="003E6E38" w:rsidRPr="003E6E38" w:rsidRDefault="003E6E38" w:rsidP="003E6E38">
      <w:pPr>
        <w:widowControl w:val="0"/>
        <w:numPr>
          <w:ilvl w:val="1"/>
          <w:numId w:val="16"/>
        </w:numPr>
        <w:suppressLineNumbers/>
        <w:jc w:val="both"/>
        <w:rPr>
          <w:sz w:val="25"/>
          <w:szCs w:val="25"/>
        </w:rPr>
      </w:pPr>
      <w:r w:rsidRPr="003E6E38">
        <w:rPr>
          <w:sz w:val="25"/>
          <w:szCs w:val="25"/>
        </w:rPr>
        <w:t>the processing of excavated materials;</w:t>
      </w:r>
    </w:p>
    <w:p w14:paraId="3779747B" w14:textId="77777777" w:rsidR="003E6E38" w:rsidRPr="003E6E38" w:rsidRDefault="003E6E38" w:rsidP="003E6E38">
      <w:pPr>
        <w:widowControl w:val="0"/>
        <w:numPr>
          <w:ilvl w:val="1"/>
          <w:numId w:val="16"/>
        </w:numPr>
        <w:suppressLineNumbers/>
        <w:jc w:val="both"/>
        <w:rPr>
          <w:sz w:val="25"/>
          <w:szCs w:val="25"/>
        </w:rPr>
      </w:pPr>
      <w:r w:rsidRPr="003E6E38">
        <w:rPr>
          <w:sz w:val="25"/>
          <w:szCs w:val="25"/>
        </w:rPr>
        <w:t>the dumping of snow or ice removed from roads or parking lots;</w:t>
      </w:r>
    </w:p>
    <w:p w14:paraId="497672F7" w14:textId="77777777" w:rsidR="003E6E38" w:rsidRPr="003E6E38" w:rsidRDefault="003E6E38" w:rsidP="003E6E38">
      <w:pPr>
        <w:widowControl w:val="0"/>
        <w:numPr>
          <w:ilvl w:val="1"/>
          <w:numId w:val="16"/>
        </w:numPr>
        <w:suppressLineNumbers/>
        <w:jc w:val="both"/>
        <w:rPr>
          <w:sz w:val="25"/>
          <w:szCs w:val="25"/>
        </w:rPr>
      </w:pPr>
      <w:r w:rsidRPr="003E6E38">
        <w:rPr>
          <w:sz w:val="25"/>
          <w:szCs w:val="25"/>
        </w:rPr>
        <w:t>the disposal, handling, or processing of solid wastes including transfer stations, recycling facilities, and composting facilities;</w:t>
      </w:r>
    </w:p>
    <w:p w14:paraId="6025573A" w14:textId="77777777" w:rsidR="003E6E38" w:rsidRPr="003E6E38" w:rsidRDefault="003E6E38" w:rsidP="003E6E38">
      <w:pPr>
        <w:widowControl w:val="0"/>
        <w:numPr>
          <w:ilvl w:val="1"/>
          <w:numId w:val="16"/>
        </w:numPr>
        <w:suppressLineNumbers/>
        <w:jc w:val="both"/>
        <w:rPr>
          <w:sz w:val="25"/>
          <w:szCs w:val="25"/>
        </w:rPr>
      </w:pPr>
      <w:r w:rsidRPr="003E6E38">
        <w:rPr>
          <w:sz w:val="25"/>
          <w:szCs w:val="25"/>
        </w:rPr>
        <w:t>animal feedlots;</w:t>
      </w:r>
    </w:p>
    <w:p w14:paraId="139042AF" w14:textId="77777777" w:rsidR="003E6E38" w:rsidRPr="003E6E38" w:rsidRDefault="003E6E38" w:rsidP="003E6E38">
      <w:pPr>
        <w:widowControl w:val="0"/>
        <w:numPr>
          <w:ilvl w:val="1"/>
          <w:numId w:val="16"/>
        </w:numPr>
        <w:suppressLineNumbers/>
        <w:jc w:val="both"/>
        <w:rPr>
          <w:sz w:val="25"/>
          <w:szCs w:val="25"/>
        </w:rPr>
      </w:pPr>
      <w:r w:rsidRPr="003E6E38">
        <w:rPr>
          <w:sz w:val="25"/>
          <w:szCs w:val="25"/>
        </w:rPr>
        <w:t>the disposal of septage or other liquid or leachate wastes except for an approved septic system;</w:t>
      </w:r>
    </w:p>
    <w:p w14:paraId="42E81A76" w14:textId="2F3FFF72" w:rsidR="00F00627" w:rsidRPr="00F00627" w:rsidRDefault="003E6E38" w:rsidP="001B1FD2">
      <w:pPr>
        <w:widowControl w:val="0"/>
        <w:numPr>
          <w:ilvl w:val="1"/>
          <w:numId w:val="16"/>
        </w:numPr>
        <w:suppressLineNumbers/>
        <w:jc w:val="both"/>
        <w:rPr>
          <w:sz w:val="25"/>
          <w:szCs w:val="25"/>
        </w:rPr>
      </w:pPr>
      <w:r w:rsidRPr="00F00627">
        <w:rPr>
          <w:sz w:val="25"/>
          <w:szCs w:val="25"/>
        </w:rPr>
        <w:t>construction on upland slopes which exceed 15%;</w:t>
      </w:r>
    </w:p>
    <w:p w14:paraId="5D752BD4" w14:textId="18B3C061" w:rsidR="003E6E38" w:rsidRPr="003E6E38" w:rsidRDefault="003E6E38" w:rsidP="003E6E38">
      <w:pPr>
        <w:widowControl w:val="0"/>
        <w:numPr>
          <w:ilvl w:val="1"/>
          <w:numId w:val="16"/>
        </w:numPr>
        <w:suppressLineNumbers/>
        <w:jc w:val="both"/>
        <w:rPr>
          <w:sz w:val="25"/>
          <w:szCs w:val="25"/>
        </w:rPr>
      </w:pPr>
      <w:r w:rsidRPr="003E6E38">
        <w:rPr>
          <w:sz w:val="25"/>
          <w:szCs w:val="25"/>
        </w:rPr>
        <w:t>dumping, spreading or any other application or use of treated soils or sludge from a sewage treatment plant.</w:t>
      </w:r>
    </w:p>
    <w:p w14:paraId="26845B70" w14:textId="1F06A923" w:rsidR="003E6E38" w:rsidRPr="003E6E38" w:rsidRDefault="003E6E38" w:rsidP="003E6E38">
      <w:pPr>
        <w:widowControl w:val="0"/>
        <w:numPr>
          <w:ilvl w:val="1"/>
          <w:numId w:val="16"/>
        </w:numPr>
        <w:suppressLineNumbers/>
        <w:jc w:val="both"/>
        <w:rPr>
          <w:bCs/>
          <w:iCs/>
          <w:color w:val="4472C4" w:themeColor="accent1"/>
          <w:sz w:val="25"/>
          <w:szCs w:val="25"/>
          <w:u w:val="single"/>
        </w:rPr>
      </w:pPr>
      <w:r w:rsidRPr="003E6E38">
        <w:rPr>
          <w:bCs/>
          <w:iCs/>
          <w:color w:val="4472C4" w:themeColor="accent1"/>
          <w:sz w:val="25"/>
          <w:szCs w:val="25"/>
          <w:u w:val="single"/>
        </w:rPr>
        <w:t>Freestanding so</w:t>
      </w:r>
      <w:r w:rsidR="00C80B6D">
        <w:rPr>
          <w:bCs/>
          <w:iCs/>
          <w:color w:val="4472C4" w:themeColor="accent1"/>
          <w:sz w:val="25"/>
          <w:szCs w:val="25"/>
          <w:u w:val="single"/>
        </w:rPr>
        <w:t>l</w:t>
      </w:r>
      <w:r w:rsidRPr="003E6E38">
        <w:rPr>
          <w:bCs/>
          <w:iCs/>
          <w:color w:val="4472C4" w:themeColor="accent1"/>
          <w:sz w:val="25"/>
          <w:szCs w:val="25"/>
          <w:u w:val="single"/>
        </w:rPr>
        <w:t>ar energy systems.</w:t>
      </w:r>
    </w:p>
    <w:p w14:paraId="28ADDB79" w14:textId="0FF14A20" w:rsidR="003E6E38" w:rsidRDefault="003E6E38" w:rsidP="00BA1038">
      <w:pPr>
        <w:tabs>
          <w:tab w:val="left" w:pos="720"/>
        </w:tabs>
        <w:rPr>
          <w:b/>
          <w:i/>
          <w:sz w:val="25"/>
          <w:szCs w:val="25"/>
        </w:rPr>
      </w:pPr>
    </w:p>
    <w:p w14:paraId="36B56A18" w14:textId="77777777" w:rsidR="00FE6C2F" w:rsidRPr="003E6E38" w:rsidRDefault="00FE6C2F" w:rsidP="00BA1038">
      <w:pPr>
        <w:tabs>
          <w:tab w:val="left" w:pos="720"/>
        </w:tabs>
        <w:rPr>
          <w:b/>
          <w:i/>
          <w:sz w:val="25"/>
          <w:szCs w:val="25"/>
        </w:rPr>
      </w:pPr>
    </w:p>
    <w:p w14:paraId="499E4AFB" w14:textId="06C15FB0" w:rsidR="004B5C12" w:rsidRPr="0049244A" w:rsidRDefault="004B5C12" w:rsidP="004B5C12">
      <w:pPr>
        <w:pStyle w:val="ListParagraph"/>
        <w:numPr>
          <w:ilvl w:val="0"/>
          <w:numId w:val="1"/>
        </w:numPr>
        <w:spacing w:after="0" w:line="240" w:lineRule="auto"/>
        <w:ind w:left="360"/>
        <w:contextualSpacing w:val="0"/>
        <w:rPr>
          <w:rFonts w:ascii="Times New Roman" w:hAnsi="Times New Roman"/>
          <w:b/>
          <w:i/>
          <w:sz w:val="25"/>
          <w:szCs w:val="25"/>
        </w:rPr>
      </w:pPr>
      <w:r w:rsidRPr="0049244A">
        <w:rPr>
          <w:rFonts w:ascii="Times New Roman" w:hAnsi="Times New Roman"/>
          <w:b/>
          <w:i/>
          <w:sz w:val="25"/>
          <w:szCs w:val="25"/>
        </w:rPr>
        <w:lastRenderedPageBreak/>
        <w:t>Add the following as a new section in Article XX – Standards for Specific Uses, Section 175-109, and re</w:t>
      </w:r>
      <w:r w:rsidR="003E6E38">
        <w:rPr>
          <w:rFonts w:ascii="Times New Roman" w:hAnsi="Times New Roman"/>
          <w:b/>
          <w:i/>
          <w:sz w:val="25"/>
          <w:szCs w:val="25"/>
        </w:rPr>
        <w:t>-</w:t>
      </w:r>
      <w:r w:rsidRPr="0049244A">
        <w:rPr>
          <w:rFonts w:ascii="Times New Roman" w:hAnsi="Times New Roman"/>
          <w:b/>
          <w:i/>
          <w:sz w:val="25"/>
          <w:szCs w:val="25"/>
        </w:rPr>
        <w:t xml:space="preserve">letter </w:t>
      </w:r>
      <w:r w:rsidRPr="006E4779">
        <w:rPr>
          <w:rFonts w:ascii="Times New Roman" w:hAnsi="Times New Roman"/>
          <w:b/>
          <w:i/>
          <w:sz w:val="25"/>
          <w:szCs w:val="25"/>
        </w:rPr>
        <w:t>N</w:t>
      </w:r>
      <w:r w:rsidRPr="0049244A">
        <w:rPr>
          <w:rFonts w:ascii="Times New Roman" w:hAnsi="Times New Roman"/>
          <w:b/>
          <w:i/>
          <w:sz w:val="25"/>
          <w:szCs w:val="25"/>
        </w:rPr>
        <w:t xml:space="preserve">. Temporary Sawmill </w:t>
      </w:r>
    </w:p>
    <w:p w14:paraId="58AF53DA" w14:textId="77777777" w:rsidR="004B5C12" w:rsidRPr="0049244A" w:rsidRDefault="004B5C12" w:rsidP="004B5C12">
      <w:pPr>
        <w:ind w:left="720" w:hanging="720"/>
        <w:rPr>
          <w:sz w:val="25"/>
          <w:szCs w:val="25"/>
        </w:rPr>
      </w:pPr>
    </w:p>
    <w:p w14:paraId="5930B5C6" w14:textId="77777777" w:rsidR="004B5C12" w:rsidRPr="001B7F57" w:rsidRDefault="004B5C12" w:rsidP="004B5C12">
      <w:pPr>
        <w:ind w:left="720" w:hanging="360"/>
        <w:rPr>
          <w:color w:val="4472C4" w:themeColor="accent1"/>
          <w:sz w:val="25"/>
          <w:szCs w:val="25"/>
          <w:u w:val="single"/>
        </w:rPr>
      </w:pPr>
      <w:r w:rsidRPr="001B7F57">
        <w:rPr>
          <w:color w:val="4472C4" w:themeColor="accent1"/>
          <w:sz w:val="25"/>
          <w:szCs w:val="25"/>
          <w:u w:val="single"/>
        </w:rPr>
        <w:t xml:space="preserve">N.  </w:t>
      </w:r>
      <w:r w:rsidRPr="001B7F57">
        <w:rPr>
          <w:b/>
          <w:i/>
          <w:color w:val="4472C4" w:themeColor="accent1"/>
          <w:sz w:val="25"/>
          <w:szCs w:val="25"/>
          <w:u w:val="single"/>
        </w:rPr>
        <w:t>Solar Energy Systems</w:t>
      </w:r>
      <w:r w:rsidRPr="001B7F57">
        <w:rPr>
          <w:color w:val="4472C4" w:themeColor="accent1"/>
          <w:sz w:val="25"/>
          <w:szCs w:val="25"/>
          <w:u w:val="single"/>
        </w:rPr>
        <w:t xml:space="preserve">.  Solar energy systems shall be allowed in conformance with the following standards and procedures (See Definitions for solar energy systems).  </w:t>
      </w:r>
    </w:p>
    <w:p w14:paraId="3CBA5621" w14:textId="77777777" w:rsidR="004B5C12" w:rsidRPr="001B7F57" w:rsidRDefault="004B5C12" w:rsidP="004B5C12">
      <w:pPr>
        <w:ind w:left="720" w:hanging="720"/>
        <w:rPr>
          <w:color w:val="4472C4" w:themeColor="accent1"/>
          <w:sz w:val="25"/>
          <w:szCs w:val="25"/>
          <w:u w:val="single"/>
        </w:rPr>
      </w:pPr>
    </w:p>
    <w:p w14:paraId="53870ABA" w14:textId="77777777" w:rsidR="004B5C12" w:rsidRPr="001B7F57" w:rsidRDefault="004B5C12" w:rsidP="004B5C12">
      <w:pPr>
        <w:ind w:left="1440" w:hanging="720"/>
        <w:rPr>
          <w:b/>
          <w:color w:val="4472C4" w:themeColor="accent1"/>
          <w:sz w:val="25"/>
          <w:szCs w:val="25"/>
          <w:u w:val="single"/>
        </w:rPr>
      </w:pPr>
      <w:r w:rsidRPr="001B7F57">
        <w:rPr>
          <w:color w:val="4472C4" w:themeColor="accent1"/>
          <w:sz w:val="25"/>
          <w:szCs w:val="25"/>
          <w:u w:val="single"/>
        </w:rPr>
        <w:t>1.</w:t>
      </w:r>
      <w:r w:rsidRPr="001B7F57">
        <w:rPr>
          <w:color w:val="4472C4" w:themeColor="accent1"/>
          <w:sz w:val="25"/>
          <w:szCs w:val="25"/>
          <w:u w:val="single"/>
        </w:rPr>
        <w:tab/>
      </w:r>
      <w:r w:rsidRPr="001B7F57">
        <w:rPr>
          <w:b/>
          <w:color w:val="4472C4" w:themeColor="accent1"/>
          <w:sz w:val="25"/>
          <w:szCs w:val="25"/>
          <w:u w:val="single"/>
        </w:rPr>
        <w:t>Authority</w:t>
      </w:r>
      <w:r w:rsidRPr="001B7F57">
        <w:rPr>
          <w:color w:val="4472C4" w:themeColor="accent1"/>
          <w:sz w:val="25"/>
          <w:szCs w:val="25"/>
          <w:u w:val="single"/>
        </w:rPr>
        <w:t xml:space="preserve">.  This ordinance is adopted pursuant to RSAs 362-F, 374-G, 477:49, 672:1 III-a, and 674:17 (I)(j). </w:t>
      </w:r>
    </w:p>
    <w:p w14:paraId="7EB35A22" w14:textId="77777777" w:rsidR="004B5C12" w:rsidRPr="001B7F57" w:rsidRDefault="004B5C12" w:rsidP="004B5C12">
      <w:pPr>
        <w:ind w:left="1440" w:hanging="720"/>
        <w:rPr>
          <w:color w:val="4472C4" w:themeColor="accent1"/>
          <w:sz w:val="25"/>
          <w:szCs w:val="25"/>
          <w:u w:val="single"/>
        </w:rPr>
      </w:pPr>
    </w:p>
    <w:p w14:paraId="4195BF04" w14:textId="77777777" w:rsidR="004B5C12" w:rsidRPr="001B7F57" w:rsidRDefault="004B5C12" w:rsidP="004B5C12">
      <w:pPr>
        <w:pBdr>
          <w:top w:val="nil"/>
          <w:left w:val="nil"/>
          <w:bottom w:val="nil"/>
          <w:right w:val="nil"/>
          <w:between w:val="nil"/>
        </w:pBdr>
        <w:ind w:left="1440" w:hanging="720"/>
        <w:contextualSpacing/>
        <w:rPr>
          <w:color w:val="4472C4" w:themeColor="accent1"/>
          <w:sz w:val="25"/>
          <w:szCs w:val="25"/>
          <w:u w:val="single"/>
        </w:rPr>
      </w:pPr>
      <w:r w:rsidRPr="001B7F57">
        <w:rPr>
          <w:color w:val="4472C4" w:themeColor="accent1"/>
          <w:sz w:val="25"/>
          <w:szCs w:val="25"/>
          <w:u w:val="single"/>
        </w:rPr>
        <w:t>2.</w:t>
      </w:r>
      <w:r w:rsidRPr="001B7F57">
        <w:rPr>
          <w:color w:val="4472C4" w:themeColor="accent1"/>
          <w:sz w:val="25"/>
          <w:szCs w:val="25"/>
          <w:u w:val="single"/>
        </w:rPr>
        <w:tab/>
      </w:r>
      <w:r w:rsidRPr="001B7F57">
        <w:rPr>
          <w:b/>
          <w:color w:val="4472C4" w:themeColor="accent1"/>
          <w:sz w:val="25"/>
          <w:szCs w:val="25"/>
          <w:u w:val="single"/>
        </w:rPr>
        <w:t>Purpose</w:t>
      </w:r>
      <w:r w:rsidRPr="001B7F57">
        <w:rPr>
          <w:color w:val="4472C4" w:themeColor="accent1"/>
          <w:sz w:val="25"/>
          <w:szCs w:val="25"/>
          <w:u w:val="single"/>
        </w:rPr>
        <w:t>.  The purpose of this ordinance is to:</w:t>
      </w:r>
    </w:p>
    <w:p w14:paraId="28CDCF40" w14:textId="77777777" w:rsidR="004B5C12" w:rsidRPr="001B7F57" w:rsidRDefault="004B5C12" w:rsidP="004B5C12">
      <w:pPr>
        <w:pBdr>
          <w:top w:val="nil"/>
          <w:left w:val="nil"/>
          <w:bottom w:val="nil"/>
          <w:right w:val="nil"/>
          <w:between w:val="nil"/>
        </w:pBdr>
        <w:ind w:left="1440" w:hanging="720"/>
        <w:contextualSpacing/>
        <w:rPr>
          <w:color w:val="4472C4" w:themeColor="accent1"/>
          <w:sz w:val="25"/>
          <w:szCs w:val="25"/>
          <w:u w:val="single"/>
        </w:rPr>
      </w:pPr>
    </w:p>
    <w:p w14:paraId="7A949912" w14:textId="77777777" w:rsidR="004B5C12" w:rsidRPr="001B7F57" w:rsidRDefault="004B5C12" w:rsidP="004B5C12">
      <w:pPr>
        <w:pStyle w:val="ListParagraph"/>
        <w:numPr>
          <w:ilvl w:val="0"/>
          <w:numId w:val="4"/>
        </w:numPr>
        <w:pBdr>
          <w:top w:val="nil"/>
          <w:left w:val="nil"/>
          <w:bottom w:val="nil"/>
          <w:right w:val="nil"/>
          <w:between w:val="nil"/>
        </w:pBdr>
        <w:spacing w:after="0" w:line="240" w:lineRule="auto"/>
        <w:ind w:left="2160" w:hanging="72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 xml:space="preserve">Encourage the implementation of solar energy systems in accordance with the recommendations stated in the Energy Chapter of the 2015 Durham Master Plan; </w:t>
      </w:r>
    </w:p>
    <w:p w14:paraId="31C14B0A" w14:textId="77777777" w:rsidR="004B5C12" w:rsidRPr="001B7F57" w:rsidRDefault="004B5C12" w:rsidP="004B5C12">
      <w:pPr>
        <w:pStyle w:val="ListParagraph"/>
        <w:pBdr>
          <w:top w:val="nil"/>
          <w:left w:val="nil"/>
          <w:bottom w:val="nil"/>
          <w:right w:val="nil"/>
          <w:between w:val="nil"/>
        </w:pBdr>
        <w:ind w:left="2160"/>
        <w:rPr>
          <w:rFonts w:ascii="Times New Roman" w:hAnsi="Times New Roman"/>
          <w:color w:val="4472C4" w:themeColor="accent1"/>
          <w:sz w:val="25"/>
          <w:szCs w:val="25"/>
          <w:u w:val="single"/>
        </w:rPr>
      </w:pPr>
    </w:p>
    <w:p w14:paraId="5F689014" w14:textId="5E78371D" w:rsidR="004B5C12" w:rsidRDefault="004B5C12" w:rsidP="004B5C12">
      <w:pPr>
        <w:pStyle w:val="ListParagraph"/>
        <w:numPr>
          <w:ilvl w:val="0"/>
          <w:numId w:val="4"/>
        </w:numPr>
        <w:pBdr>
          <w:top w:val="nil"/>
          <w:left w:val="nil"/>
          <w:bottom w:val="nil"/>
          <w:right w:val="nil"/>
          <w:between w:val="nil"/>
        </w:pBdr>
        <w:spacing w:after="0" w:line="240" w:lineRule="auto"/>
        <w:ind w:left="2160" w:hanging="72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promote environmental sustainability while respecting the rural character and scenic landscape of Durham and the use of productive agricultural lands; and</w:t>
      </w:r>
    </w:p>
    <w:p w14:paraId="44E7294F" w14:textId="77777777" w:rsidR="0093202D" w:rsidRDefault="0093202D" w:rsidP="0093202D">
      <w:pPr>
        <w:pStyle w:val="ListParagraph"/>
        <w:pBdr>
          <w:top w:val="nil"/>
          <w:left w:val="nil"/>
          <w:bottom w:val="nil"/>
          <w:right w:val="nil"/>
          <w:between w:val="nil"/>
        </w:pBdr>
        <w:spacing w:after="0" w:line="240" w:lineRule="auto"/>
        <w:ind w:left="2160"/>
        <w:rPr>
          <w:rFonts w:ascii="Times New Roman" w:hAnsi="Times New Roman"/>
          <w:color w:val="4472C4" w:themeColor="accent1"/>
          <w:sz w:val="25"/>
          <w:szCs w:val="25"/>
          <w:u w:val="single"/>
        </w:rPr>
      </w:pPr>
    </w:p>
    <w:p w14:paraId="57FE451F" w14:textId="77777777" w:rsidR="004B5C12" w:rsidRPr="001B7F57" w:rsidRDefault="004B5C12" w:rsidP="004B5C12">
      <w:pPr>
        <w:pStyle w:val="m-6535451524279222601m-3061282727539662064msolistparagraph"/>
        <w:numPr>
          <w:ilvl w:val="0"/>
          <w:numId w:val="4"/>
        </w:numPr>
        <w:pBdr>
          <w:top w:val="nil"/>
          <w:left w:val="nil"/>
          <w:bottom w:val="nil"/>
          <w:right w:val="nil"/>
          <w:between w:val="nil"/>
        </w:pBdr>
        <w:spacing w:before="0" w:beforeAutospacing="0" w:after="0" w:afterAutospacing="0"/>
        <w:ind w:left="2160" w:hanging="720"/>
        <w:contextualSpacing/>
        <w:rPr>
          <w:color w:val="4472C4" w:themeColor="accent1"/>
          <w:sz w:val="25"/>
          <w:szCs w:val="25"/>
          <w:u w:val="single"/>
        </w:rPr>
      </w:pPr>
      <w:r w:rsidRPr="001B7F57">
        <w:rPr>
          <w:color w:val="4472C4" w:themeColor="accent1"/>
          <w:sz w:val="25"/>
          <w:szCs w:val="25"/>
          <w:u w:val="single"/>
        </w:rPr>
        <w:t>comply with and support the State of New Hampshire’s goal of developing clean, safe, renewable energy </w:t>
      </w:r>
      <w:r w:rsidRPr="001B7F57">
        <w:rPr>
          <w:color w:val="4472C4" w:themeColor="accent1"/>
          <w:sz w:val="26"/>
          <w:szCs w:val="26"/>
          <w:u w:val="single"/>
        </w:rPr>
        <w:t>resources</w:t>
      </w:r>
      <w:r w:rsidRPr="001B7F57">
        <w:rPr>
          <w:color w:val="4472C4" w:themeColor="accent1"/>
          <w:sz w:val="25"/>
          <w:szCs w:val="25"/>
          <w:u w:val="single"/>
        </w:rPr>
        <w:t> as provided for in the statutes referred to in 175-109. N.1 above.</w:t>
      </w:r>
    </w:p>
    <w:p w14:paraId="50AEA741" w14:textId="77777777" w:rsidR="004B5C12" w:rsidRPr="001B7F57" w:rsidRDefault="004B5C12" w:rsidP="004B5C12">
      <w:pPr>
        <w:pStyle w:val="m-6535451524279222601m-3061282727539662064msolistparagraph"/>
        <w:pBdr>
          <w:top w:val="nil"/>
          <w:left w:val="nil"/>
          <w:bottom w:val="nil"/>
          <w:right w:val="nil"/>
          <w:between w:val="nil"/>
        </w:pBdr>
        <w:spacing w:before="0" w:beforeAutospacing="0" w:after="0" w:afterAutospacing="0"/>
        <w:contextualSpacing/>
        <w:rPr>
          <w:color w:val="4472C4" w:themeColor="accent1"/>
          <w:sz w:val="25"/>
          <w:szCs w:val="25"/>
          <w:u w:val="single"/>
        </w:rPr>
      </w:pPr>
    </w:p>
    <w:p w14:paraId="57533F28" w14:textId="1EA3024D" w:rsidR="004B5C12" w:rsidRPr="001B7F57" w:rsidRDefault="004B5C12" w:rsidP="004B5C12">
      <w:pPr>
        <w:pStyle w:val="m-6535451524279222601m-3061282727539662064msolistparagraph"/>
        <w:pBdr>
          <w:top w:val="nil"/>
          <w:left w:val="nil"/>
          <w:bottom w:val="nil"/>
          <w:right w:val="nil"/>
          <w:between w:val="nil"/>
        </w:pBdr>
        <w:spacing w:before="0" w:beforeAutospacing="0" w:after="0" w:afterAutospacing="0"/>
        <w:ind w:left="1440" w:hanging="720"/>
        <w:contextualSpacing/>
        <w:rPr>
          <w:color w:val="4472C4" w:themeColor="accent1"/>
          <w:sz w:val="25"/>
          <w:szCs w:val="25"/>
          <w:u w:val="single"/>
        </w:rPr>
      </w:pPr>
      <w:r w:rsidRPr="001B7F57">
        <w:rPr>
          <w:color w:val="4472C4" w:themeColor="accent1"/>
          <w:sz w:val="25"/>
          <w:szCs w:val="25"/>
          <w:u w:val="single"/>
        </w:rPr>
        <w:t>3.</w:t>
      </w:r>
      <w:r w:rsidRPr="001B7F57">
        <w:rPr>
          <w:color w:val="4472C4" w:themeColor="accent1"/>
          <w:sz w:val="25"/>
          <w:szCs w:val="25"/>
          <w:u w:val="single"/>
        </w:rPr>
        <w:tab/>
      </w:r>
      <w:r w:rsidRPr="001B7F57">
        <w:rPr>
          <w:b/>
          <w:color w:val="4472C4" w:themeColor="accent1"/>
          <w:sz w:val="25"/>
          <w:szCs w:val="25"/>
          <w:u w:val="single"/>
        </w:rPr>
        <w:t>Applicability</w:t>
      </w:r>
      <w:r w:rsidRPr="001B7F57">
        <w:rPr>
          <w:color w:val="4472C4" w:themeColor="accent1"/>
          <w:sz w:val="25"/>
          <w:szCs w:val="25"/>
          <w:u w:val="single"/>
        </w:rPr>
        <w:t>.  Solar installations that are designed to generate less than one kilowatt and are not connected to the electrical grid are not covered by this ordinance, though they may be subject to other regulations.</w:t>
      </w:r>
    </w:p>
    <w:p w14:paraId="2FAAB381" w14:textId="77777777" w:rsidR="004B5C12" w:rsidRPr="001B7F57" w:rsidRDefault="004B5C12" w:rsidP="004B5C12">
      <w:pPr>
        <w:pStyle w:val="m-6535451524279222601m-3061282727539662064msolistparagraph"/>
        <w:pBdr>
          <w:top w:val="nil"/>
          <w:left w:val="nil"/>
          <w:bottom w:val="nil"/>
          <w:right w:val="nil"/>
          <w:between w:val="nil"/>
        </w:pBdr>
        <w:spacing w:before="0" w:beforeAutospacing="0" w:after="0" w:afterAutospacing="0"/>
        <w:ind w:left="1440" w:hanging="720"/>
        <w:contextualSpacing/>
        <w:rPr>
          <w:color w:val="4472C4" w:themeColor="accent1"/>
          <w:sz w:val="25"/>
          <w:szCs w:val="25"/>
          <w:u w:val="single"/>
        </w:rPr>
      </w:pPr>
    </w:p>
    <w:p w14:paraId="42B52AC3" w14:textId="77777777" w:rsidR="004B5C12" w:rsidRPr="001B7F57" w:rsidRDefault="004B5C12" w:rsidP="004B5C12">
      <w:pPr>
        <w:ind w:left="1440" w:hanging="720"/>
        <w:rPr>
          <w:color w:val="4472C4" w:themeColor="accent1"/>
          <w:sz w:val="25"/>
          <w:szCs w:val="25"/>
          <w:u w:val="single"/>
        </w:rPr>
      </w:pPr>
      <w:r w:rsidRPr="0093202D">
        <w:rPr>
          <w:color w:val="4472C4" w:themeColor="accent1"/>
          <w:sz w:val="25"/>
          <w:szCs w:val="25"/>
          <w:u w:val="single"/>
        </w:rPr>
        <w:t>4.</w:t>
      </w:r>
      <w:r w:rsidRPr="0093202D">
        <w:rPr>
          <w:color w:val="4472C4" w:themeColor="accent1"/>
          <w:sz w:val="25"/>
          <w:szCs w:val="25"/>
          <w:u w:val="single"/>
        </w:rPr>
        <w:tab/>
      </w:r>
      <w:r w:rsidRPr="0093202D">
        <w:rPr>
          <w:b/>
          <w:bCs/>
          <w:color w:val="4472C4" w:themeColor="accent1"/>
          <w:sz w:val="25"/>
          <w:szCs w:val="25"/>
          <w:u w:val="single"/>
        </w:rPr>
        <w:t>Single-Family or Duplex Residential Solar Energy System</w:t>
      </w:r>
      <w:r w:rsidRPr="0093202D">
        <w:rPr>
          <w:b/>
          <w:bCs/>
          <w:i/>
          <w:color w:val="4472C4" w:themeColor="accent1"/>
          <w:sz w:val="25"/>
          <w:szCs w:val="25"/>
          <w:u w:val="single"/>
        </w:rPr>
        <w:t xml:space="preserve"> </w:t>
      </w:r>
      <w:r w:rsidRPr="0093202D">
        <w:rPr>
          <w:b/>
          <w:bCs/>
          <w:color w:val="4472C4" w:themeColor="accent1"/>
          <w:sz w:val="25"/>
          <w:szCs w:val="25"/>
          <w:u w:val="single"/>
        </w:rPr>
        <w:t>– accessory use</w:t>
      </w:r>
      <w:r w:rsidRPr="0093202D">
        <w:rPr>
          <w:color w:val="4472C4" w:themeColor="accent1"/>
          <w:sz w:val="25"/>
          <w:szCs w:val="25"/>
          <w:u w:val="single"/>
        </w:rPr>
        <w:t>.   The</w:t>
      </w:r>
      <w:r w:rsidRPr="001B7F57">
        <w:rPr>
          <w:color w:val="4472C4" w:themeColor="accent1"/>
          <w:sz w:val="25"/>
          <w:szCs w:val="25"/>
          <w:u w:val="single"/>
        </w:rPr>
        <w:t xml:space="preserve"> following provisions apply to single-family or duplex residential solar energy systems.</w:t>
      </w:r>
    </w:p>
    <w:p w14:paraId="3B365EF2" w14:textId="77777777" w:rsidR="004B5C12" w:rsidRPr="001B7F57" w:rsidRDefault="004B5C12" w:rsidP="004B5C12">
      <w:pPr>
        <w:ind w:left="1440" w:hanging="720"/>
        <w:rPr>
          <w:b/>
          <w:i/>
          <w:color w:val="4472C4" w:themeColor="accent1"/>
          <w:sz w:val="25"/>
          <w:szCs w:val="25"/>
          <w:u w:val="single"/>
        </w:rPr>
      </w:pPr>
    </w:p>
    <w:p w14:paraId="2FE5372B" w14:textId="77777777" w:rsidR="004B5C12" w:rsidRPr="001B7F57" w:rsidRDefault="004B5C12" w:rsidP="00D63C81">
      <w:pPr>
        <w:pStyle w:val="ListParagraph"/>
        <w:numPr>
          <w:ilvl w:val="0"/>
          <w:numId w:val="7"/>
        </w:numPr>
        <w:spacing w:after="0" w:line="240" w:lineRule="auto"/>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 xml:space="preserve">Basic requirements.  This accessory use serves single-family or duplex residences situated on the same lot. A Freestanding Solar Energy System may have a nameplate capacity rating of 30 kW or occupy a ground area of up to 1,800 square feet. </w:t>
      </w:r>
    </w:p>
    <w:p w14:paraId="07822A84" w14:textId="77777777" w:rsidR="004B5C12" w:rsidRPr="001B7F57" w:rsidRDefault="004B5C12" w:rsidP="004B5C12">
      <w:pPr>
        <w:pStyle w:val="ListParagraph"/>
        <w:ind w:left="216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 xml:space="preserve"> </w:t>
      </w:r>
      <w:r w:rsidRPr="001B7F57">
        <w:rPr>
          <w:rFonts w:ascii="Times New Roman" w:hAnsi="Times New Roman"/>
          <w:color w:val="4472C4" w:themeColor="accent1"/>
          <w:sz w:val="26"/>
          <w:szCs w:val="26"/>
          <w:u w:val="single"/>
        </w:rPr>
        <w:t xml:space="preserve"> </w:t>
      </w:r>
      <w:r w:rsidRPr="001B7F57">
        <w:rPr>
          <w:color w:val="4472C4" w:themeColor="accent1"/>
          <w:u w:val="single"/>
        </w:rPr>
        <w:t xml:space="preserve"> </w:t>
      </w:r>
    </w:p>
    <w:p w14:paraId="27A5BEC8" w14:textId="77777777" w:rsidR="004B5C12" w:rsidRPr="001B7F57" w:rsidRDefault="004B5C12" w:rsidP="004B5C12">
      <w:pPr>
        <w:pStyle w:val="ListParagraph"/>
        <w:numPr>
          <w:ilvl w:val="0"/>
          <w:numId w:val="7"/>
        </w:numPr>
        <w:spacing w:after="0" w:line="240" w:lineRule="auto"/>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 xml:space="preserve">Special Exception.  A proposed Single-Family or Duplex Residential Solar Energy System that does not conform with 175.109.N.4. c. below may be approved by a special exception.  </w:t>
      </w:r>
      <w:r w:rsidRPr="001B7F57">
        <w:rPr>
          <w:rFonts w:ascii="Times New Roman" w:hAnsi="Times New Roman"/>
          <w:color w:val="4472C4" w:themeColor="accent1"/>
          <w:sz w:val="25"/>
          <w:szCs w:val="25"/>
          <w:u w:val="single"/>
        </w:rPr>
        <w:tab/>
      </w:r>
    </w:p>
    <w:p w14:paraId="1C94B44F" w14:textId="77777777" w:rsidR="004B5C12" w:rsidRPr="001B7F57" w:rsidRDefault="004B5C12" w:rsidP="004B5C12">
      <w:pPr>
        <w:pStyle w:val="ListParagraph"/>
        <w:rPr>
          <w:rFonts w:ascii="Times New Roman" w:hAnsi="Times New Roman"/>
          <w:color w:val="4472C4" w:themeColor="accent1"/>
          <w:sz w:val="25"/>
          <w:szCs w:val="25"/>
          <w:u w:val="single"/>
        </w:rPr>
      </w:pPr>
    </w:p>
    <w:p w14:paraId="0FD5F047" w14:textId="77777777" w:rsidR="004B5C12" w:rsidRPr="001B7F57" w:rsidRDefault="004B5C12" w:rsidP="004B5C12">
      <w:pPr>
        <w:pStyle w:val="ListParagraph"/>
        <w:numPr>
          <w:ilvl w:val="0"/>
          <w:numId w:val="7"/>
        </w:numPr>
        <w:spacing w:after="0" w:line="240" w:lineRule="auto"/>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Placement – A Freestanding Solar Energy System shall be placed in a location meeting one or more of the following criteria.</w:t>
      </w:r>
    </w:p>
    <w:p w14:paraId="1D6F8267" w14:textId="77777777" w:rsidR="004B5C12" w:rsidRPr="001B7F57" w:rsidRDefault="004B5C12" w:rsidP="004B5C12">
      <w:pPr>
        <w:ind w:left="2160" w:hanging="720"/>
        <w:rPr>
          <w:color w:val="4472C4" w:themeColor="accent1"/>
          <w:sz w:val="25"/>
          <w:szCs w:val="25"/>
          <w:u w:val="single"/>
        </w:rPr>
      </w:pPr>
    </w:p>
    <w:p w14:paraId="59EA5C25" w14:textId="77777777" w:rsidR="004B5C12" w:rsidRPr="001B7F57" w:rsidRDefault="004B5C12" w:rsidP="003E6E38">
      <w:pPr>
        <w:pStyle w:val="ListParagraph"/>
        <w:numPr>
          <w:ilvl w:val="0"/>
          <w:numId w:val="10"/>
        </w:numPr>
        <w:spacing w:after="0" w:line="240" w:lineRule="auto"/>
        <w:contextualSpacing w:val="0"/>
        <w:rPr>
          <w:rFonts w:ascii="Times New Roman" w:hAnsi="Times New Roman"/>
          <w:color w:val="4472C4" w:themeColor="accent1"/>
          <w:sz w:val="25"/>
          <w:szCs w:val="25"/>
          <w:u w:val="single"/>
        </w:rPr>
      </w:pPr>
      <w:bookmarkStart w:id="1" w:name="_Hlk52343656"/>
      <w:r w:rsidRPr="001B7F57">
        <w:rPr>
          <w:rFonts w:ascii="Times New Roman" w:hAnsi="Times New Roman"/>
          <w:color w:val="4472C4" w:themeColor="accent1"/>
          <w:sz w:val="25"/>
          <w:szCs w:val="25"/>
          <w:u w:val="single"/>
        </w:rPr>
        <w:lastRenderedPageBreak/>
        <w:t xml:space="preserve">The system is placed where it is largely not visible from a public road abutting the property, as determined by the Code Enforcement Officer, due to topography or existing structures or vegetation that are expected to be maintained until the Solar Energy System is decommissioned. </w:t>
      </w:r>
    </w:p>
    <w:p w14:paraId="0EDDD029" w14:textId="77777777" w:rsidR="004B5C12" w:rsidRPr="001B7F57" w:rsidRDefault="004B5C12" w:rsidP="004B5C12">
      <w:pPr>
        <w:pStyle w:val="ListParagraph"/>
        <w:ind w:left="2520"/>
        <w:rPr>
          <w:rFonts w:ascii="Times New Roman" w:hAnsi="Times New Roman"/>
          <w:color w:val="4472C4" w:themeColor="accent1"/>
          <w:sz w:val="25"/>
          <w:szCs w:val="25"/>
          <w:u w:val="single"/>
        </w:rPr>
      </w:pPr>
    </w:p>
    <w:p w14:paraId="6E876AC4" w14:textId="77777777" w:rsidR="004B5C12" w:rsidRPr="001B7F57" w:rsidRDefault="004B5C12" w:rsidP="003E6E38">
      <w:pPr>
        <w:pStyle w:val="ListParagraph"/>
        <w:numPr>
          <w:ilvl w:val="0"/>
          <w:numId w:val="10"/>
        </w:numPr>
        <w:spacing w:after="0" w:line="240" w:lineRule="auto"/>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 xml:space="preserve">The system is placed 150 feet or more from any portion of a public road.   </w:t>
      </w:r>
    </w:p>
    <w:p w14:paraId="5C17D20B" w14:textId="77777777" w:rsidR="004B5C12" w:rsidRPr="001B7F57" w:rsidRDefault="004B5C12" w:rsidP="004B5C12">
      <w:pPr>
        <w:pStyle w:val="ListParagraph"/>
        <w:ind w:left="2520"/>
        <w:rPr>
          <w:rFonts w:ascii="Times New Roman" w:hAnsi="Times New Roman"/>
          <w:color w:val="4472C4" w:themeColor="accent1"/>
          <w:sz w:val="25"/>
          <w:szCs w:val="25"/>
          <w:u w:val="single"/>
        </w:rPr>
      </w:pPr>
    </w:p>
    <w:p w14:paraId="18E1DF1E" w14:textId="57FF3ADC" w:rsidR="004B5C12" w:rsidRPr="001B7F57" w:rsidRDefault="004B5C12" w:rsidP="003E6E38">
      <w:pPr>
        <w:pStyle w:val="ListParagraph"/>
        <w:numPr>
          <w:ilvl w:val="0"/>
          <w:numId w:val="10"/>
        </w:numPr>
        <w:spacing w:after="0" w:line="240" w:lineRule="auto"/>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When a system is equal to or less than 12 feet in height and does not meet the requirements of 175-109.N.4.b. (1) or (2) above, the system shall be placed behind the fully enclosed part of the residence closest to the public road.  Systems in the Rural and Rural Coastal Zones must also comply with 175-109.N.4.b (5) below.</w:t>
      </w:r>
    </w:p>
    <w:p w14:paraId="2C3943B0" w14:textId="77777777" w:rsidR="004B5C12" w:rsidRPr="001B7F57" w:rsidRDefault="004B5C12" w:rsidP="004B5C12">
      <w:pPr>
        <w:pStyle w:val="ListParagraph"/>
        <w:ind w:left="2520"/>
        <w:rPr>
          <w:rFonts w:ascii="Times New Roman" w:hAnsi="Times New Roman"/>
          <w:color w:val="4472C4" w:themeColor="accent1"/>
          <w:sz w:val="25"/>
          <w:szCs w:val="25"/>
          <w:u w:val="single"/>
        </w:rPr>
      </w:pPr>
    </w:p>
    <w:p w14:paraId="2BE67CD9" w14:textId="137D9873" w:rsidR="004B5C12" w:rsidRPr="001B7F57" w:rsidRDefault="004B5C12" w:rsidP="003E6E38">
      <w:pPr>
        <w:pStyle w:val="ListParagraph"/>
        <w:numPr>
          <w:ilvl w:val="0"/>
          <w:numId w:val="10"/>
        </w:numPr>
        <w:spacing w:after="0" w:line="240" w:lineRule="auto"/>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When a system is greater than 12 feet in height and does not meet the requirements of 175-109.N.4.b.  (1) or (2) above, the system shall be placed behind the fully enclosed part of the residence that is furthest from the public road</w:t>
      </w:r>
      <w:bookmarkEnd w:id="1"/>
      <w:r w:rsidRPr="001B7F57">
        <w:rPr>
          <w:rFonts w:ascii="Times New Roman" w:hAnsi="Times New Roman"/>
          <w:color w:val="4472C4" w:themeColor="accent1"/>
          <w:sz w:val="25"/>
          <w:szCs w:val="25"/>
          <w:u w:val="single"/>
        </w:rPr>
        <w:t>. Systems in the Rural and Rural Coastal Zones must also comply with 175-109. N.4.b (5) below.</w:t>
      </w:r>
    </w:p>
    <w:p w14:paraId="4450565E" w14:textId="77777777" w:rsidR="004B5C12" w:rsidRPr="001B7F57" w:rsidRDefault="004B5C12" w:rsidP="004B5C12">
      <w:pPr>
        <w:pStyle w:val="ListParagraph"/>
        <w:ind w:left="2520"/>
        <w:rPr>
          <w:rFonts w:ascii="Times New Roman" w:hAnsi="Times New Roman"/>
          <w:color w:val="4472C4" w:themeColor="accent1"/>
          <w:sz w:val="25"/>
          <w:szCs w:val="25"/>
          <w:u w:val="single"/>
        </w:rPr>
      </w:pPr>
    </w:p>
    <w:p w14:paraId="590E1D34" w14:textId="2FEE4522" w:rsidR="004B5C12" w:rsidRPr="001B7F57" w:rsidRDefault="004B5C12" w:rsidP="003E6E38">
      <w:pPr>
        <w:pStyle w:val="ListParagraph"/>
        <w:numPr>
          <w:ilvl w:val="0"/>
          <w:numId w:val="10"/>
        </w:numPr>
        <w:spacing w:after="0" w:line="240" w:lineRule="auto"/>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 xml:space="preserve">Systems in the Rural and Rural Coastal Zones should meet the placement criteria 175-109.N.4.b (1) or (2) above.  The system may be placed in accordance with 175-109.N.4.b (3) or (4) </w:t>
      </w:r>
      <w:r w:rsidR="003E6E38" w:rsidRPr="001B7F57">
        <w:rPr>
          <w:rFonts w:ascii="Times New Roman" w:hAnsi="Times New Roman"/>
          <w:color w:val="4472C4" w:themeColor="accent1"/>
          <w:sz w:val="25"/>
          <w:szCs w:val="25"/>
          <w:u w:val="single"/>
        </w:rPr>
        <w:t>above but</w:t>
      </w:r>
      <w:r w:rsidRPr="001B7F57">
        <w:rPr>
          <w:rFonts w:ascii="Times New Roman" w:hAnsi="Times New Roman"/>
          <w:color w:val="4472C4" w:themeColor="accent1"/>
          <w:sz w:val="25"/>
          <w:szCs w:val="25"/>
          <w:u w:val="single"/>
        </w:rPr>
        <w:t xml:space="preserve"> shall not extend more than 40’ beyond the side of the residence.</w:t>
      </w:r>
    </w:p>
    <w:p w14:paraId="0D83318E" w14:textId="77777777" w:rsidR="004B5C12" w:rsidRPr="001B7F57" w:rsidRDefault="004B5C12" w:rsidP="004B5C12">
      <w:pPr>
        <w:pStyle w:val="ListParagraph"/>
        <w:ind w:left="2160"/>
        <w:rPr>
          <w:rFonts w:ascii="Times New Roman" w:hAnsi="Times New Roman"/>
          <w:color w:val="4472C4" w:themeColor="accent1"/>
          <w:sz w:val="25"/>
          <w:szCs w:val="25"/>
          <w:u w:val="single"/>
        </w:rPr>
      </w:pPr>
    </w:p>
    <w:p w14:paraId="7D10CA02" w14:textId="77777777" w:rsidR="004B5C12" w:rsidRPr="001B7F57" w:rsidRDefault="004B5C12" w:rsidP="0093202D">
      <w:pPr>
        <w:pStyle w:val="ListParagraph"/>
        <w:numPr>
          <w:ilvl w:val="0"/>
          <w:numId w:val="14"/>
        </w:numPr>
        <w:spacing w:after="0" w:line="240" w:lineRule="auto"/>
        <w:ind w:left="1800" w:hanging="810"/>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Carport Mounted Solar Energy System – A solar energy system may be mounted on a carport when the carport is attached to the single-family or duplex residence and the carport is located beyond the fully enclosed part of the residence closest to the public road.</w:t>
      </w:r>
    </w:p>
    <w:p w14:paraId="78CA325C" w14:textId="77777777" w:rsidR="00D55E1D" w:rsidRDefault="00D55E1D" w:rsidP="004B5C12">
      <w:pPr>
        <w:tabs>
          <w:tab w:val="left" w:pos="1440"/>
        </w:tabs>
        <w:ind w:left="1440" w:hanging="720"/>
        <w:rPr>
          <w:color w:val="4472C4" w:themeColor="accent1"/>
          <w:sz w:val="25"/>
          <w:szCs w:val="25"/>
          <w:u w:val="single"/>
        </w:rPr>
      </w:pPr>
    </w:p>
    <w:p w14:paraId="5EBDC92F" w14:textId="62DEE538" w:rsidR="004B5C12" w:rsidRPr="001B7F57" w:rsidRDefault="004B5C12" w:rsidP="004B5C12">
      <w:pPr>
        <w:tabs>
          <w:tab w:val="left" w:pos="1440"/>
        </w:tabs>
        <w:ind w:left="1440" w:hanging="720"/>
        <w:rPr>
          <w:color w:val="4472C4" w:themeColor="accent1"/>
          <w:sz w:val="25"/>
          <w:szCs w:val="25"/>
          <w:u w:val="single"/>
        </w:rPr>
      </w:pPr>
      <w:r w:rsidRPr="001B7F57">
        <w:rPr>
          <w:color w:val="4472C4" w:themeColor="accent1"/>
          <w:sz w:val="25"/>
          <w:szCs w:val="25"/>
          <w:u w:val="single"/>
        </w:rPr>
        <w:t>5.</w:t>
      </w:r>
      <w:r w:rsidRPr="001B7F57">
        <w:rPr>
          <w:color w:val="4472C4" w:themeColor="accent1"/>
          <w:sz w:val="25"/>
          <w:szCs w:val="25"/>
          <w:u w:val="single"/>
        </w:rPr>
        <w:tab/>
      </w:r>
      <w:r w:rsidRPr="001B7F57">
        <w:rPr>
          <w:b/>
          <w:color w:val="4472C4" w:themeColor="accent1"/>
          <w:sz w:val="25"/>
          <w:szCs w:val="25"/>
          <w:u w:val="single"/>
        </w:rPr>
        <w:t>Multi-unit or Nonresidential Solar Energy System – accessory use</w:t>
      </w:r>
      <w:r w:rsidRPr="001B7F57">
        <w:rPr>
          <w:color w:val="4472C4" w:themeColor="accent1"/>
          <w:sz w:val="25"/>
          <w:szCs w:val="25"/>
          <w:u w:val="single"/>
        </w:rPr>
        <w:t xml:space="preserve">.  </w:t>
      </w:r>
    </w:p>
    <w:p w14:paraId="356F15D3" w14:textId="7FFAFDD0" w:rsidR="004B5C12" w:rsidRDefault="004B5C12" w:rsidP="004B5C12">
      <w:pPr>
        <w:pStyle w:val="ListParagraph"/>
        <w:ind w:left="144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The following standards and procedures apply to freestanding multi-unit residential or non-residential systems.</w:t>
      </w:r>
    </w:p>
    <w:p w14:paraId="5AE80148" w14:textId="77777777" w:rsidR="00D55E1D" w:rsidRPr="001B7F57" w:rsidRDefault="00D55E1D" w:rsidP="004B5C12">
      <w:pPr>
        <w:pStyle w:val="ListParagraph"/>
        <w:ind w:left="1440"/>
        <w:rPr>
          <w:rFonts w:ascii="Times New Roman" w:hAnsi="Times New Roman"/>
          <w:color w:val="4472C4" w:themeColor="accent1"/>
          <w:sz w:val="25"/>
          <w:szCs w:val="25"/>
          <w:u w:val="single"/>
        </w:rPr>
      </w:pPr>
    </w:p>
    <w:p w14:paraId="35656D3B" w14:textId="77777777" w:rsidR="004B5C12" w:rsidRPr="001B7F57" w:rsidRDefault="004B5C12" w:rsidP="004B5C12">
      <w:pPr>
        <w:pStyle w:val="ListParagraph"/>
        <w:numPr>
          <w:ilvl w:val="0"/>
          <w:numId w:val="3"/>
        </w:numPr>
        <w:spacing w:after="0" w:line="240" w:lineRule="auto"/>
        <w:ind w:left="2160" w:hanging="720"/>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Site plan review and approval by the Planning Board is required.</w:t>
      </w:r>
    </w:p>
    <w:p w14:paraId="601CE310" w14:textId="77777777" w:rsidR="00D55E1D" w:rsidRPr="0093202D" w:rsidRDefault="00D55E1D" w:rsidP="004B5C12">
      <w:pPr>
        <w:ind w:left="2160" w:hanging="720"/>
        <w:rPr>
          <w:color w:val="4472C4" w:themeColor="accent1"/>
          <w:sz w:val="25"/>
          <w:szCs w:val="25"/>
        </w:rPr>
      </w:pPr>
    </w:p>
    <w:p w14:paraId="4B239F06" w14:textId="11861694" w:rsidR="004B5C12" w:rsidRPr="001B7F57" w:rsidRDefault="004B5C12" w:rsidP="004B5C12">
      <w:pPr>
        <w:ind w:left="2160" w:hanging="720"/>
        <w:rPr>
          <w:color w:val="4472C4" w:themeColor="accent1"/>
          <w:sz w:val="25"/>
          <w:szCs w:val="25"/>
          <w:u w:val="single"/>
        </w:rPr>
      </w:pPr>
      <w:r w:rsidRPr="0093202D">
        <w:rPr>
          <w:color w:val="4472C4" w:themeColor="accent1"/>
          <w:sz w:val="25"/>
          <w:szCs w:val="25"/>
        </w:rPr>
        <w:t>b.</w:t>
      </w:r>
      <w:r w:rsidRPr="0093202D">
        <w:rPr>
          <w:color w:val="4472C4" w:themeColor="accent1"/>
          <w:sz w:val="25"/>
          <w:szCs w:val="25"/>
        </w:rPr>
        <w:tab/>
      </w:r>
      <w:r w:rsidRPr="001B7F57">
        <w:rPr>
          <w:color w:val="4472C4" w:themeColor="accent1"/>
          <w:sz w:val="25"/>
          <w:szCs w:val="25"/>
          <w:u w:val="single"/>
        </w:rPr>
        <w:t>A proposed system that does not conform with 175-109.N.5. c. below, may be approved by a special exception.</w:t>
      </w:r>
    </w:p>
    <w:p w14:paraId="30987C20" w14:textId="77777777" w:rsidR="004B5C12" w:rsidRPr="0093202D" w:rsidRDefault="004B5C12" w:rsidP="004B5C12">
      <w:pPr>
        <w:ind w:left="2160" w:hanging="720"/>
        <w:rPr>
          <w:color w:val="4472C4" w:themeColor="accent1"/>
          <w:sz w:val="25"/>
          <w:szCs w:val="25"/>
        </w:rPr>
      </w:pPr>
      <w:r w:rsidRPr="0093202D">
        <w:rPr>
          <w:color w:val="4472C4" w:themeColor="accent1"/>
          <w:sz w:val="25"/>
          <w:szCs w:val="25"/>
        </w:rPr>
        <w:t xml:space="preserve">  </w:t>
      </w:r>
    </w:p>
    <w:p w14:paraId="64DEB462" w14:textId="77777777" w:rsidR="004B5C12" w:rsidRPr="001B7F57" w:rsidRDefault="004B5C12" w:rsidP="004B5C12">
      <w:pPr>
        <w:ind w:left="2160" w:hanging="720"/>
        <w:rPr>
          <w:color w:val="4472C4" w:themeColor="accent1"/>
          <w:sz w:val="25"/>
          <w:szCs w:val="25"/>
          <w:u w:val="single"/>
        </w:rPr>
      </w:pPr>
      <w:r w:rsidRPr="0093202D">
        <w:rPr>
          <w:color w:val="4472C4" w:themeColor="accent1"/>
          <w:sz w:val="25"/>
          <w:szCs w:val="25"/>
        </w:rPr>
        <w:t>c.</w:t>
      </w:r>
      <w:r w:rsidRPr="0093202D">
        <w:rPr>
          <w:color w:val="4472C4" w:themeColor="accent1"/>
          <w:sz w:val="25"/>
          <w:szCs w:val="25"/>
        </w:rPr>
        <w:tab/>
      </w:r>
      <w:r w:rsidRPr="001B7F57">
        <w:rPr>
          <w:color w:val="4472C4" w:themeColor="accent1"/>
          <w:sz w:val="25"/>
          <w:szCs w:val="25"/>
          <w:u w:val="single"/>
        </w:rPr>
        <w:t xml:space="preserve">No part of the system may be placed closer to the front property line (and side property line in the case of a corner lot) than the part of the fully enclosed principal building closest to the street. In addition, for a system that exceeds 12 feet in height (any part of the system), no part </w:t>
      </w:r>
      <w:r w:rsidRPr="001B7F57">
        <w:rPr>
          <w:color w:val="4472C4" w:themeColor="accent1"/>
          <w:sz w:val="25"/>
          <w:szCs w:val="25"/>
          <w:u w:val="single"/>
        </w:rPr>
        <w:lastRenderedPageBreak/>
        <w:t>of the system may be placed closer to the front property line (and side property line in the case of a corner lot) than the fully enclosed part of the principal building furthest from the street.</w:t>
      </w:r>
    </w:p>
    <w:p w14:paraId="4EBB0EDC" w14:textId="77777777" w:rsidR="004B5C12" w:rsidRPr="0093202D" w:rsidRDefault="004B5C12" w:rsidP="004B5C12">
      <w:pPr>
        <w:ind w:left="2160" w:hanging="720"/>
        <w:rPr>
          <w:color w:val="4472C4" w:themeColor="accent1"/>
          <w:sz w:val="25"/>
          <w:szCs w:val="25"/>
        </w:rPr>
      </w:pPr>
    </w:p>
    <w:p w14:paraId="7935E00A" w14:textId="77777777" w:rsidR="004B5C12" w:rsidRPr="001B7F57" w:rsidRDefault="004B5C12" w:rsidP="004B5C12">
      <w:pPr>
        <w:ind w:left="2160" w:hanging="720"/>
        <w:rPr>
          <w:color w:val="4472C4" w:themeColor="accent1"/>
          <w:sz w:val="25"/>
          <w:szCs w:val="25"/>
          <w:u w:val="single"/>
        </w:rPr>
      </w:pPr>
      <w:r w:rsidRPr="0093202D">
        <w:rPr>
          <w:color w:val="4472C4" w:themeColor="accent1"/>
          <w:sz w:val="25"/>
          <w:szCs w:val="25"/>
        </w:rPr>
        <w:t>d.</w:t>
      </w:r>
      <w:r w:rsidRPr="0093202D">
        <w:rPr>
          <w:color w:val="4472C4" w:themeColor="accent1"/>
          <w:sz w:val="25"/>
          <w:szCs w:val="25"/>
        </w:rPr>
        <w:tab/>
      </w:r>
      <w:r w:rsidRPr="001B7F57">
        <w:rPr>
          <w:color w:val="4472C4" w:themeColor="accent1"/>
          <w:sz w:val="25"/>
          <w:szCs w:val="25"/>
          <w:u w:val="single"/>
        </w:rPr>
        <w:t xml:space="preserve">The Solar Energy System shall be sized to provide up to the projected annual energy needs of the multi-unit or nonresidential use including approved ancillary uses.  </w:t>
      </w:r>
    </w:p>
    <w:p w14:paraId="22E0E2D6" w14:textId="77777777" w:rsidR="004B5C12" w:rsidRPr="001B7F57" w:rsidRDefault="004B5C12" w:rsidP="004B5C12">
      <w:pPr>
        <w:ind w:left="2160" w:hanging="720"/>
        <w:rPr>
          <w:color w:val="4472C4" w:themeColor="accent1"/>
          <w:sz w:val="25"/>
          <w:szCs w:val="25"/>
          <w:u w:val="single"/>
        </w:rPr>
      </w:pPr>
    </w:p>
    <w:p w14:paraId="286AE151" w14:textId="77777777" w:rsidR="004B5C12" w:rsidRPr="001B7F57" w:rsidRDefault="004B5C12" w:rsidP="004B5C12">
      <w:pPr>
        <w:ind w:left="2160" w:hanging="720"/>
        <w:rPr>
          <w:color w:val="4472C4" w:themeColor="accent1"/>
          <w:sz w:val="25"/>
          <w:szCs w:val="25"/>
          <w:u w:val="single"/>
        </w:rPr>
      </w:pPr>
      <w:r w:rsidRPr="0093202D">
        <w:rPr>
          <w:color w:val="4472C4" w:themeColor="accent1"/>
          <w:sz w:val="25"/>
          <w:szCs w:val="25"/>
        </w:rPr>
        <w:t>e.</w:t>
      </w:r>
      <w:r w:rsidRPr="0093202D">
        <w:rPr>
          <w:color w:val="4472C4" w:themeColor="accent1"/>
          <w:sz w:val="25"/>
          <w:szCs w:val="25"/>
        </w:rPr>
        <w:tab/>
      </w:r>
      <w:r w:rsidRPr="001B7F57">
        <w:rPr>
          <w:color w:val="4472C4" w:themeColor="accent1"/>
          <w:sz w:val="25"/>
          <w:szCs w:val="25"/>
          <w:u w:val="single"/>
        </w:rPr>
        <w:t>Where the nonresidential use is Commercial Farm, the system may be sized to generate up to 100 kW more than the projected annual energy needs of the Principal Use, and the Solar Energy System may function as a Small Utility-Scale Solar Energy System or Small Group Net Metering Host.</w:t>
      </w:r>
    </w:p>
    <w:p w14:paraId="5A99B2FA" w14:textId="77777777" w:rsidR="00D55E1D" w:rsidRDefault="00D55E1D" w:rsidP="004B5C12">
      <w:pPr>
        <w:ind w:left="1440" w:hanging="720"/>
        <w:rPr>
          <w:color w:val="4472C4" w:themeColor="accent1"/>
          <w:sz w:val="25"/>
          <w:szCs w:val="25"/>
          <w:u w:val="single"/>
        </w:rPr>
      </w:pPr>
    </w:p>
    <w:p w14:paraId="2B05BCC8" w14:textId="4F3FB899" w:rsidR="004B5C12" w:rsidRPr="001B7F57" w:rsidRDefault="004B5C12" w:rsidP="004B5C12">
      <w:pPr>
        <w:ind w:left="1440" w:hanging="720"/>
        <w:rPr>
          <w:color w:val="4472C4" w:themeColor="accent1"/>
          <w:sz w:val="25"/>
          <w:szCs w:val="25"/>
          <w:u w:val="single"/>
        </w:rPr>
      </w:pPr>
      <w:r w:rsidRPr="001B7F57">
        <w:rPr>
          <w:color w:val="4472C4" w:themeColor="accent1"/>
          <w:sz w:val="25"/>
          <w:szCs w:val="25"/>
          <w:u w:val="single"/>
        </w:rPr>
        <w:t>6.</w:t>
      </w:r>
      <w:r w:rsidRPr="001B7F57">
        <w:rPr>
          <w:color w:val="4472C4" w:themeColor="accent1"/>
          <w:sz w:val="25"/>
          <w:szCs w:val="25"/>
          <w:u w:val="single"/>
        </w:rPr>
        <w:tab/>
      </w:r>
      <w:r w:rsidRPr="001B7F57">
        <w:rPr>
          <w:b/>
          <w:bCs/>
          <w:color w:val="4472C4" w:themeColor="accent1"/>
          <w:sz w:val="25"/>
          <w:szCs w:val="25"/>
          <w:u w:val="single"/>
        </w:rPr>
        <w:t>Small and Large</w:t>
      </w:r>
      <w:r w:rsidRPr="001B7F57">
        <w:rPr>
          <w:color w:val="4472C4" w:themeColor="accent1"/>
          <w:sz w:val="25"/>
          <w:szCs w:val="25"/>
          <w:u w:val="single"/>
        </w:rPr>
        <w:t xml:space="preserve"> </w:t>
      </w:r>
      <w:r w:rsidRPr="001B7F57">
        <w:rPr>
          <w:b/>
          <w:color w:val="4472C4" w:themeColor="accent1"/>
          <w:sz w:val="25"/>
          <w:szCs w:val="25"/>
          <w:u w:val="single"/>
        </w:rPr>
        <w:t>Utility-Scale Solar Energy System – principal use</w:t>
      </w:r>
      <w:r w:rsidRPr="001B7F57">
        <w:rPr>
          <w:color w:val="4472C4" w:themeColor="accent1"/>
          <w:sz w:val="25"/>
          <w:szCs w:val="25"/>
          <w:u w:val="single"/>
        </w:rPr>
        <w:t xml:space="preserve">.  </w:t>
      </w:r>
    </w:p>
    <w:p w14:paraId="1BFBA1C0" w14:textId="77777777" w:rsidR="004B5C12" w:rsidRPr="001B7F57" w:rsidRDefault="004B5C12" w:rsidP="004B5C12">
      <w:pPr>
        <w:ind w:left="1440"/>
        <w:rPr>
          <w:color w:val="4472C4" w:themeColor="accent1"/>
          <w:sz w:val="25"/>
          <w:szCs w:val="25"/>
          <w:u w:val="single"/>
        </w:rPr>
      </w:pPr>
      <w:r w:rsidRPr="001B7F57">
        <w:rPr>
          <w:color w:val="4472C4" w:themeColor="accent1"/>
          <w:sz w:val="25"/>
          <w:szCs w:val="25"/>
          <w:u w:val="single"/>
        </w:rPr>
        <w:t>The following standards and procedures apply to freestanding Utility-Scale Solar Energy Systems.</w:t>
      </w:r>
    </w:p>
    <w:p w14:paraId="1F790D3B" w14:textId="77777777" w:rsidR="004B5C12" w:rsidRPr="00D55E1D" w:rsidRDefault="004B5C12" w:rsidP="004B5C12">
      <w:pPr>
        <w:pStyle w:val="ListParagraph"/>
        <w:tabs>
          <w:tab w:val="left" w:pos="6187"/>
        </w:tabs>
        <w:ind w:left="2160" w:hanging="720"/>
        <w:rPr>
          <w:rFonts w:ascii="Times New Roman" w:hAnsi="Times New Roman"/>
          <w:color w:val="4472C4" w:themeColor="accent1"/>
          <w:sz w:val="25"/>
          <w:szCs w:val="25"/>
        </w:rPr>
      </w:pPr>
      <w:r w:rsidRPr="00D55E1D">
        <w:rPr>
          <w:rFonts w:ascii="Times New Roman" w:hAnsi="Times New Roman"/>
          <w:color w:val="4472C4" w:themeColor="accent1"/>
          <w:sz w:val="25"/>
          <w:szCs w:val="25"/>
        </w:rPr>
        <w:tab/>
      </w:r>
      <w:r w:rsidRPr="00D55E1D">
        <w:rPr>
          <w:rFonts w:ascii="Times New Roman" w:hAnsi="Times New Roman"/>
          <w:color w:val="4472C4" w:themeColor="accent1"/>
          <w:sz w:val="25"/>
          <w:szCs w:val="25"/>
        </w:rPr>
        <w:tab/>
      </w:r>
    </w:p>
    <w:p w14:paraId="01FD590B" w14:textId="77777777" w:rsidR="004B5C12" w:rsidRPr="001B7F57" w:rsidRDefault="004B5C12" w:rsidP="004B5C12">
      <w:pPr>
        <w:pStyle w:val="ListParagraph"/>
        <w:numPr>
          <w:ilvl w:val="0"/>
          <w:numId w:val="5"/>
        </w:numPr>
        <w:spacing w:after="0" w:line="240" w:lineRule="auto"/>
        <w:ind w:left="2160" w:hanging="720"/>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 xml:space="preserve">Site plan review and approval is required.   </w:t>
      </w:r>
    </w:p>
    <w:p w14:paraId="6F4DAED8" w14:textId="77777777" w:rsidR="004B5C12" w:rsidRPr="00D55E1D" w:rsidRDefault="004B5C12" w:rsidP="004B5C12">
      <w:pPr>
        <w:pStyle w:val="ListParagraph"/>
        <w:ind w:left="2160" w:hanging="720"/>
        <w:rPr>
          <w:rFonts w:ascii="Times New Roman" w:hAnsi="Times New Roman"/>
          <w:color w:val="4472C4" w:themeColor="accent1"/>
          <w:sz w:val="25"/>
          <w:szCs w:val="25"/>
        </w:rPr>
      </w:pPr>
    </w:p>
    <w:p w14:paraId="123988FD" w14:textId="77777777" w:rsidR="004B5C12" w:rsidRPr="001B7F57" w:rsidRDefault="004B5C12" w:rsidP="004B5C12">
      <w:pPr>
        <w:pStyle w:val="ListParagraph"/>
        <w:ind w:left="2160" w:hanging="720"/>
        <w:rPr>
          <w:rFonts w:ascii="Times New Roman" w:hAnsi="Times New Roman"/>
          <w:color w:val="4472C4" w:themeColor="accent1"/>
          <w:sz w:val="25"/>
          <w:szCs w:val="25"/>
          <w:u w:val="single"/>
        </w:rPr>
      </w:pPr>
      <w:r w:rsidRPr="00D55E1D">
        <w:rPr>
          <w:rFonts w:ascii="Times New Roman" w:hAnsi="Times New Roman"/>
          <w:color w:val="4472C4" w:themeColor="accent1"/>
          <w:sz w:val="25"/>
          <w:szCs w:val="25"/>
        </w:rPr>
        <w:t>b.</w:t>
      </w:r>
      <w:r w:rsidRPr="00D55E1D">
        <w:rPr>
          <w:rFonts w:ascii="Times New Roman" w:hAnsi="Times New Roman"/>
          <w:color w:val="4472C4" w:themeColor="accent1"/>
          <w:sz w:val="25"/>
          <w:szCs w:val="25"/>
        </w:rPr>
        <w:tab/>
      </w:r>
      <w:r w:rsidRPr="001B7F57">
        <w:rPr>
          <w:rFonts w:ascii="Times New Roman" w:hAnsi="Times New Roman"/>
          <w:color w:val="4472C4" w:themeColor="accent1"/>
          <w:sz w:val="25"/>
          <w:szCs w:val="25"/>
          <w:u w:val="single"/>
        </w:rPr>
        <w:t>Freestanding systems shall be set back at least 100 feet from the front property line.  The system shall be buffered from single family homes, neighboring roads and abutting properties in accordance with the Site Plan Regulations and as reasonably determined by the Planning Board.</w:t>
      </w:r>
    </w:p>
    <w:p w14:paraId="40AB3546" w14:textId="77777777" w:rsidR="004B5C12" w:rsidRPr="001B7F57" w:rsidRDefault="004B5C12" w:rsidP="004B5C12">
      <w:pPr>
        <w:ind w:left="1440" w:hanging="720"/>
        <w:rPr>
          <w:color w:val="4472C4" w:themeColor="accent1"/>
          <w:sz w:val="25"/>
          <w:szCs w:val="25"/>
          <w:u w:val="single"/>
        </w:rPr>
      </w:pPr>
      <w:r w:rsidRPr="001B7F57">
        <w:rPr>
          <w:color w:val="4472C4" w:themeColor="accent1"/>
          <w:sz w:val="25"/>
          <w:szCs w:val="25"/>
          <w:u w:val="single"/>
        </w:rPr>
        <w:t>7.</w:t>
      </w:r>
      <w:r w:rsidRPr="001B7F57">
        <w:rPr>
          <w:color w:val="4472C4" w:themeColor="accent1"/>
          <w:sz w:val="25"/>
          <w:szCs w:val="25"/>
          <w:u w:val="single"/>
        </w:rPr>
        <w:tab/>
      </w:r>
      <w:r w:rsidRPr="001B7F57">
        <w:rPr>
          <w:b/>
          <w:bCs/>
          <w:color w:val="4472C4" w:themeColor="accent1"/>
          <w:sz w:val="25"/>
          <w:szCs w:val="25"/>
          <w:u w:val="single"/>
        </w:rPr>
        <w:t>Small and Large</w:t>
      </w:r>
      <w:r w:rsidRPr="001B7F57">
        <w:rPr>
          <w:color w:val="4472C4" w:themeColor="accent1"/>
          <w:sz w:val="25"/>
          <w:szCs w:val="25"/>
          <w:u w:val="single"/>
        </w:rPr>
        <w:t xml:space="preserve"> </w:t>
      </w:r>
      <w:r w:rsidRPr="001B7F57">
        <w:rPr>
          <w:b/>
          <w:bCs/>
          <w:color w:val="4472C4" w:themeColor="accent1"/>
          <w:sz w:val="25"/>
          <w:szCs w:val="25"/>
          <w:u w:val="single"/>
        </w:rPr>
        <w:t>Group Net Metering Host</w:t>
      </w:r>
      <w:r w:rsidRPr="001B7F57">
        <w:rPr>
          <w:color w:val="4472C4" w:themeColor="accent1"/>
          <w:sz w:val="25"/>
          <w:szCs w:val="25"/>
          <w:u w:val="single"/>
        </w:rPr>
        <w:t xml:space="preserve"> </w:t>
      </w:r>
      <w:r w:rsidRPr="001B7F57">
        <w:rPr>
          <w:b/>
          <w:color w:val="4472C4" w:themeColor="accent1"/>
          <w:sz w:val="25"/>
          <w:szCs w:val="25"/>
          <w:u w:val="single"/>
        </w:rPr>
        <w:t>– principal use</w:t>
      </w:r>
      <w:r w:rsidRPr="001B7F57">
        <w:rPr>
          <w:color w:val="4472C4" w:themeColor="accent1"/>
          <w:sz w:val="25"/>
          <w:szCs w:val="25"/>
          <w:u w:val="single"/>
        </w:rPr>
        <w:t xml:space="preserve">.  </w:t>
      </w:r>
    </w:p>
    <w:p w14:paraId="03279FC4" w14:textId="7581DF56" w:rsidR="004B5C12" w:rsidRPr="001B7F57" w:rsidRDefault="004B5C12" w:rsidP="004B5C12">
      <w:pPr>
        <w:ind w:left="1440"/>
        <w:rPr>
          <w:color w:val="4472C4" w:themeColor="accent1"/>
          <w:sz w:val="25"/>
          <w:szCs w:val="25"/>
          <w:u w:val="single"/>
        </w:rPr>
      </w:pPr>
      <w:r w:rsidRPr="001B7F57">
        <w:rPr>
          <w:color w:val="4472C4" w:themeColor="accent1"/>
          <w:sz w:val="25"/>
          <w:szCs w:val="25"/>
          <w:u w:val="single"/>
        </w:rPr>
        <w:t>The following standards and procedures apply to a freestanding Group Net Metering Host as a principal use but not to a Single-family or duplex residential solar energy system functioning as group net metering host.</w:t>
      </w:r>
    </w:p>
    <w:p w14:paraId="2228D3CF" w14:textId="77777777" w:rsidR="004B5C12" w:rsidRPr="00D55E1D" w:rsidRDefault="004B5C12" w:rsidP="004B5C12">
      <w:pPr>
        <w:ind w:left="1440" w:hanging="810"/>
        <w:rPr>
          <w:color w:val="4472C4" w:themeColor="accent1"/>
          <w:sz w:val="25"/>
          <w:szCs w:val="25"/>
        </w:rPr>
      </w:pPr>
      <w:r w:rsidRPr="00D55E1D">
        <w:rPr>
          <w:color w:val="4472C4" w:themeColor="accent1"/>
          <w:sz w:val="25"/>
          <w:szCs w:val="25"/>
        </w:rPr>
        <w:tab/>
      </w:r>
    </w:p>
    <w:p w14:paraId="1352691F" w14:textId="77777777" w:rsidR="004B5C12" w:rsidRPr="001B7F57" w:rsidRDefault="004B5C12" w:rsidP="003E6E38">
      <w:pPr>
        <w:pStyle w:val="ListParagraph"/>
        <w:numPr>
          <w:ilvl w:val="0"/>
          <w:numId w:val="12"/>
        </w:numPr>
        <w:spacing w:after="0" w:line="240" w:lineRule="auto"/>
        <w:ind w:left="2160" w:hanging="630"/>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 xml:space="preserve">Site plan review and approval is required.   </w:t>
      </w:r>
    </w:p>
    <w:p w14:paraId="5B97883A" w14:textId="77777777" w:rsidR="004B5C12" w:rsidRPr="00D55E1D" w:rsidRDefault="004B5C12" w:rsidP="004B5C12">
      <w:pPr>
        <w:pStyle w:val="ListParagraph"/>
        <w:ind w:left="2160" w:hanging="630"/>
        <w:rPr>
          <w:rFonts w:ascii="Times New Roman" w:hAnsi="Times New Roman"/>
          <w:color w:val="4472C4" w:themeColor="accent1"/>
          <w:sz w:val="25"/>
          <w:szCs w:val="25"/>
        </w:rPr>
      </w:pPr>
    </w:p>
    <w:p w14:paraId="5F51FB3A" w14:textId="77777777" w:rsidR="004B5C12" w:rsidRPr="001B7F57" w:rsidRDefault="004B5C12" w:rsidP="004B5C12">
      <w:pPr>
        <w:pStyle w:val="ListParagraph"/>
        <w:ind w:left="2160" w:hanging="630"/>
        <w:rPr>
          <w:rFonts w:ascii="Times New Roman" w:hAnsi="Times New Roman"/>
          <w:color w:val="4472C4" w:themeColor="accent1"/>
          <w:sz w:val="25"/>
          <w:szCs w:val="25"/>
          <w:u w:val="single"/>
        </w:rPr>
      </w:pPr>
      <w:r w:rsidRPr="00D55E1D">
        <w:rPr>
          <w:rFonts w:ascii="Times New Roman" w:hAnsi="Times New Roman"/>
          <w:color w:val="4472C4" w:themeColor="accent1"/>
          <w:sz w:val="25"/>
          <w:szCs w:val="25"/>
        </w:rPr>
        <w:t>b.</w:t>
      </w:r>
      <w:r w:rsidRPr="00D55E1D">
        <w:rPr>
          <w:rFonts w:ascii="Times New Roman" w:hAnsi="Times New Roman"/>
          <w:color w:val="4472C4" w:themeColor="accent1"/>
          <w:sz w:val="25"/>
          <w:szCs w:val="25"/>
        </w:rPr>
        <w:tab/>
      </w:r>
      <w:r w:rsidRPr="001B7F57">
        <w:rPr>
          <w:rFonts w:ascii="Times New Roman" w:hAnsi="Times New Roman"/>
          <w:color w:val="4472C4" w:themeColor="accent1"/>
          <w:sz w:val="25"/>
          <w:szCs w:val="25"/>
          <w:u w:val="single"/>
        </w:rPr>
        <w:t>Freestanding systems shall be set back at least 100 feet from the front property line.  The system shall be buffered from single family homes, neighboring roads and abutting properties in accordance with the Site Plan Regulations and as reasonably determined by the Planning Board.</w:t>
      </w:r>
    </w:p>
    <w:p w14:paraId="46E134AE" w14:textId="77777777" w:rsidR="004B5C12" w:rsidRPr="001B7F57" w:rsidRDefault="004B5C12" w:rsidP="004B5C12">
      <w:pPr>
        <w:ind w:left="1440" w:hanging="810"/>
        <w:rPr>
          <w:strike/>
          <w:color w:val="4472C4" w:themeColor="accent1"/>
          <w:sz w:val="25"/>
          <w:szCs w:val="25"/>
          <w:u w:val="single"/>
        </w:rPr>
      </w:pPr>
      <w:r w:rsidRPr="001B7F57">
        <w:rPr>
          <w:color w:val="4472C4" w:themeColor="accent1"/>
          <w:sz w:val="25"/>
          <w:szCs w:val="25"/>
          <w:u w:val="single"/>
        </w:rPr>
        <w:t>8.</w:t>
      </w:r>
      <w:r w:rsidRPr="001B7F57">
        <w:rPr>
          <w:color w:val="4472C4" w:themeColor="accent1"/>
          <w:sz w:val="25"/>
          <w:szCs w:val="25"/>
          <w:u w:val="single"/>
        </w:rPr>
        <w:tab/>
      </w:r>
      <w:r w:rsidRPr="001B7F57">
        <w:rPr>
          <w:b/>
          <w:bCs/>
          <w:color w:val="4472C4" w:themeColor="accent1"/>
          <w:sz w:val="25"/>
          <w:szCs w:val="25"/>
          <w:u w:val="single"/>
        </w:rPr>
        <w:t xml:space="preserve">Solar PV Parking Canopy </w:t>
      </w:r>
      <w:r w:rsidRPr="001B7F57">
        <w:rPr>
          <w:b/>
          <w:bCs/>
          <w:i/>
          <w:iCs/>
          <w:color w:val="4472C4" w:themeColor="accent1"/>
          <w:sz w:val="25"/>
          <w:szCs w:val="25"/>
          <w:u w:val="single"/>
        </w:rPr>
        <w:t xml:space="preserve">– </w:t>
      </w:r>
      <w:r w:rsidRPr="001B7F57">
        <w:rPr>
          <w:b/>
          <w:bCs/>
          <w:color w:val="4472C4" w:themeColor="accent1"/>
          <w:sz w:val="25"/>
          <w:szCs w:val="25"/>
          <w:u w:val="single"/>
        </w:rPr>
        <w:t>accessory use</w:t>
      </w:r>
      <w:r w:rsidRPr="001B7F57">
        <w:rPr>
          <w:b/>
          <w:bCs/>
          <w:i/>
          <w:iCs/>
          <w:color w:val="4472C4" w:themeColor="accent1"/>
          <w:sz w:val="25"/>
          <w:szCs w:val="25"/>
          <w:u w:val="single"/>
        </w:rPr>
        <w:t>.</w:t>
      </w:r>
      <w:r w:rsidRPr="001B7F57">
        <w:rPr>
          <w:color w:val="4472C4" w:themeColor="accent1"/>
          <w:sz w:val="25"/>
          <w:szCs w:val="25"/>
          <w:u w:val="single"/>
        </w:rPr>
        <w:t xml:space="preserve">  </w:t>
      </w:r>
    </w:p>
    <w:p w14:paraId="48AEC8A8" w14:textId="77777777" w:rsidR="004B5C12" w:rsidRPr="00D55E1D" w:rsidRDefault="004B5C12" w:rsidP="004B5C12">
      <w:pPr>
        <w:pStyle w:val="ListParagraph"/>
        <w:tabs>
          <w:tab w:val="left" w:pos="6187"/>
        </w:tabs>
        <w:ind w:left="2160" w:hanging="720"/>
        <w:rPr>
          <w:rFonts w:ascii="Times New Roman" w:hAnsi="Times New Roman"/>
          <w:color w:val="4472C4" w:themeColor="accent1"/>
          <w:sz w:val="25"/>
          <w:szCs w:val="25"/>
        </w:rPr>
      </w:pPr>
      <w:r w:rsidRPr="00D55E1D">
        <w:rPr>
          <w:rFonts w:ascii="Times New Roman" w:hAnsi="Times New Roman"/>
          <w:color w:val="4472C4" w:themeColor="accent1"/>
          <w:sz w:val="25"/>
          <w:szCs w:val="25"/>
        </w:rPr>
        <w:tab/>
      </w:r>
      <w:r w:rsidRPr="00D55E1D">
        <w:rPr>
          <w:rFonts w:ascii="Times New Roman" w:hAnsi="Times New Roman"/>
          <w:color w:val="4472C4" w:themeColor="accent1"/>
          <w:sz w:val="25"/>
          <w:szCs w:val="25"/>
        </w:rPr>
        <w:tab/>
      </w:r>
    </w:p>
    <w:p w14:paraId="7454BFE0" w14:textId="77777777" w:rsidR="004B5C12" w:rsidRPr="001B7F57" w:rsidRDefault="004B5C12" w:rsidP="003E6E38">
      <w:pPr>
        <w:pStyle w:val="ListParagraph"/>
        <w:numPr>
          <w:ilvl w:val="0"/>
          <w:numId w:val="11"/>
        </w:numPr>
        <w:spacing w:after="0" w:line="240" w:lineRule="auto"/>
        <w:ind w:left="2160" w:hanging="810"/>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A Site plan review and approval is required.</w:t>
      </w:r>
    </w:p>
    <w:p w14:paraId="7251F553" w14:textId="77777777" w:rsidR="004B5C12" w:rsidRPr="001B7F57" w:rsidRDefault="004B5C12" w:rsidP="004B5C12">
      <w:pPr>
        <w:pStyle w:val="ListParagraph"/>
        <w:ind w:left="2160"/>
        <w:rPr>
          <w:rFonts w:ascii="Times New Roman" w:hAnsi="Times New Roman"/>
          <w:color w:val="4472C4" w:themeColor="accent1"/>
          <w:sz w:val="25"/>
          <w:szCs w:val="25"/>
          <w:u w:val="single"/>
        </w:rPr>
      </w:pPr>
    </w:p>
    <w:p w14:paraId="4D3D6238" w14:textId="77777777" w:rsidR="004B5C12" w:rsidRPr="001B7F57" w:rsidRDefault="004B5C12" w:rsidP="003E6E38">
      <w:pPr>
        <w:pStyle w:val="ListParagraph"/>
        <w:numPr>
          <w:ilvl w:val="0"/>
          <w:numId w:val="11"/>
        </w:numPr>
        <w:spacing w:after="0" w:line="240" w:lineRule="auto"/>
        <w:ind w:left="2160" w:hanging="810"/>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 xml:space="preserve">The parking must be an approved use specified in Section 175-53 “Table of Uses”.     </w:t>
      </w:r>
    </w:p>
    <w:p w14:paraId="46EDDBEE" w14:textId="77777777" w:rsidR="004B5C12" w:rsidRPr="001B7F57" w:rsidRDefault="004B5C12" w:rsidP="004B5C12">
      <w:pPr>
        <w:pStyle w:val="ListParagraph"/>
        <w:ind w:left="2160" w:hanging="720"/>
        <w:rPr>
          <w:rFonts w:ascii="Times New Roman" w:hAnsi="Times New Roman"/>
          <w:color w:val="4472C4" w:themeColor="accent1"/>
          <w:sz w:val="25"/>
          <w:szCs w:val="25"/>
          <w:u w:val="single"/>
        </w:rPr>
      </w:pPr>
    </w:p>
    <w:p w14:paraId="2E1B0E48" w14:textId="77777777" w:rsidR="004B5C12" w:rsidRPr="001B7F57" w:rsidRDefault="004B5C12" w:rsidP="004B5C12">
      <w:pPr>
        <w:pStyle w:val="ListParagraph"/>
        <w:ind w:left="2160" w:hanging="720"/>
        <w:rPr>
          <w:rFonts w:ascii="Times New Roman" w:hAnsi="Times New Roman"/>
          <w:color w:val="4472C4" w:themeColor="accent1"/>
          <w:sz w:val="25"/>
          <w:szCs w:val="25"/>
          <w:u w:val="single"/>
        </w:rPr>
      </w:pPr>
      <w:r w:rsidRPr="00D55E1D">
        <w:rPr>
          <w:rFonts w:ascii="Times New Roman" w:hAnsi="Times New Roman"/>
          <w:color w:val="4472C4" w:themeColor="accent1"/>
          <w:sz w:val="25"/>
          <w:szCs w:val="25"/>
        </w:rPr>
        <w:lastRenderedPageBreak/>
        <w:t>c.</w:t>
      </w:r>
      <w:r w:rsidRPr="00D55E1D">
        <w:rPr>
          <w:rFonts w:ascii="Times New Roman" w:hAnsi="Times New Roman"/>
          <w:color w:val="4472C4" w:themeColor="accent1"/>
          <w:sz w:val="25"/>
          <w:szCs w:val="25"/>
        </w:rPr>
        <w:tab/>
      </w:r>
      <w:r w:rsidRPr="001B7F57">
        <w:rPr>
          <w:rFonts w:ascii="Times New Roman" w:hAnsi="Times New Roman"/>
          <w:color w:val="4472C4" w:themeColor="accent1"/>
          <w:sz w:val="25"/>
          <w:szCs w:val="25"/>
          <w:u w:val="single"/>
        </w:rPr>
        <w:t>The height of the canopy, including panels, above the ground shall not exceed the height limit permitted in the zone and be no greater than 35 feet.</w:t>
      </w:r>
    </w:p>
    <w:p w14:paraId="5EFFAB4F" w14:textId="77777777" w:rsidR="004B5C12" w:rsidRPr="001B7F57" w:rsidRDefault="004B5C12" w:rsidP="004B5C12">
      <w:pPr>
        <w:rPr>
          <w:color w:val="4472C4" w:themeColor="accent1"/>
          <w:sz w:val="25"/>
          <w:szCs w:val="25"/>
          <w:u w:val="single"/>
        </w:rPr>
      </w:pPr>
    </w:p>
    <w:p w14:paraId="115BD6A9" w14:textId="77777777" w:rsidR="004B5C12" w:rsidRPr="001B7F57" w:rsidRDefault="004B5C12" w:rsidP="004B5C12">
      <w:pPr>
        <w:ind w:left="2160" w:hanging="720"/>
        <w:rPr>
          <w:color w:val="4472C4" w:themeColor="accent1"/>
          <w:sz w:val="25"/>
          <w:szCs w:val="25"/>
          <w:u w:val="single"/>
        </w:rPr>
      </w:pPr>
      <w:r w:rsidRPr="00D55E1D">
        <w:rPr>
          <w:color w:val="4472C4" w:themeColor="accent1"/>
          <w:sz w:val="25"/>
          <w:szCs w:val="25"/>
        </w:rPr>
        <w:t>d.</w:t>
      </w:r>
      <w:r w:rsidRPr="00D55E1D">
        <w:rPr>
          <w:color w:val="4472C4" w:themeColor="accent1"/>
          <w:sz w:val="25"/>
          <w:szCs w:val="25"/>
        </w:rPr>
        <w:tab/>
        <w:t>A</w:t>
      </w:r>
      <w:r w:rsidRPr="001B7F57">
        <w:rPr>
          <w:color w:val="4472C4" w:themeColor="accent1"/>
          <w:sz w:val="25"/>
          <w:szCs w:val="25"/>
          <w:u w:val="single"/>
        </w:rPr>
        <w:t xml:space="preserve"> Solar PV Parking Canopy may function as a Multi-unit or Non-Residential Solar Energy System, a Utility-Scale Solar Energy System (Large or Small) or a Group Net Metering Host (Large or Small).</w:t>
      </w:r>
    </w:p>
    <w:p w14:paraId="0B46C686" w14:textId="77777777" w:rsidR="004B5C12" w:rsidRPr="001B7F57" w:rsidRDefault="004B5C12" w:rsidP="004B5C12">
      <w:pPr>
        <w:rPr>
          <w:color w:val="4472C4" w:themeColor="accent1"/>
          <w:sz w:val="25"/>
          <w:szCs w:val="25"/>
          <w:u w:val="single"/>
        </w:rPr>
      </w:pPr>
    </w:p>
    <w:p w14:paraId="353AADD7" w14:textId="77777777" w:rsidR="004B5C12" w:rsidRPr="001B7F57" w:rsidRDefault="004B5C12" w:rsidP="004B5C12">
      <w:pPr>
        <w:pStyle w:val="Sectionindent2"/>
        <w:spacing w:before="0" w:after="0"/>
        <w:ind w:left="1440" w:hanging="806"/>
        <w:rPr>
          <w:color w:val="4472C4" w:themeColor="accent1"/>
          <w:sz w:val="25"/>
          <w:szCs w:val="25"/>
          <w:u w:val="single"/>
        </w:rPr>
      </w:pPr>
      <w:r w:rsidRPr="00D55E1D">
        <w:rPr>
          <w:b/>
          <w:bCs/>
          <w:color w:val="4472C4" w:themeColor="accent1"/>
          <w:sz w:val="25"/>
          <w:szCs w:val="25"/>
          <w:u w:val="single"/>
        </w:rPr>
        <w:t>9.</w:t>
      </w:r>
      <w:r w:rsidRPr="00D55E1D">
        <w:rPr>
          <w:b/>
          <w:bCs/>
          <w:color w:val="4472C4" w:themeColor="accent1"/>
          <w:sz w:val="25"/>
          <w:szCs w:val="25"/>
          <w:u w:val="single"/>
        </w:rPr>
        <w:tab/>
        <w:t>Other provisions</w:t>
      </w:r>
      <w:r w:rsidRPr="00D55E1D">
        <w:rPr>
          <w:color w:val="4472C4" w:themeColor="accent1"/>
          <w:sz w:val="25"/>
          <w:szCs w:val="25"/>
          <w:u w:val="single"/>
        </w:rPr>
        <w:t>.  The</w:t>
      </w:r>
      <w:r w:rsidRPr="001B7F57">
        <w:rPr>
          <w:color w:val="4472C4" w:themeColor="accent1"/>
          <w:sz w:val="25"/>
          <w:szCs w:val="25"/>
          <w:u w:val="single"/>
        </w:rPr>
        <w:t xml:space="preserve"> following additional provisions apply to all solar energy systems.</w:t>
      </w:r>
    </w:p>
    <w:p w14:paraId="272BDC8F" w14:textId="77777777" w:rsidR="004B5C12" w:rsidRPr="001B7F57" w:rsidRDefault="004B5C12" w:rsidP="004B5C12">
      <w:pPr>
        <w:pStyle w:val="ListParagraph"/>
        <w:ind w:left="360" w:hanging="360"/>
        <w:rPr>
          <w:rFonts w:ascii="Times New Roman" w:hAnsi="Times New Roman"/>
          <w:color w:val="4472C4" w:themeColor="accent1"/>
          <w:sz w:val="25"/>
          <w:szCs w:val="25"/>
          <w:u w:val="single"/>
        </w:rPr>
      </w:pPr>
    </w:p>
    <w:p w14:paraId="58B9306A" w14:textId="77777777" w:rsidR="004B5C12" w:rsidRPr="001B7F57" w:rsidRDefault="004B5C12" w:rsidP="004B5C12">
      <w:pPr>
        <w:pStyle w:val="ListParagraph"/>
        <w:numPr>
          <w:ilvl w:val="0"/>
          <w:numId w:val="6"/>
        </w:numPr>
        <w:spacing w:after="0" w:line="240" w:lineRule="auto"/>
        <w:ind w:left="2160" w:hanging="720"/>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Building permit.  A building permit is required for the installation of any system.</w:t>
      </w:r>
    </w:p>
    <w:p w14:paraId="538343E0" w14:textId="77777777" w:rsidR="004B5C12" w:rsidRPr="001B7F57" w:rsidRDefault="004B5C12" w:rsidP="004B5C12">
      <w:pPr>
        <w:pStyle w:val="ListParagraph"/>
        <w:ind w:left="2160" w:hanging="720"/>
        <w:rPr>
          <w:rFonts w:ascii="Times New Roman" w:hAnsi="Times New Roman"/>
          <w:color w:val="4472C4" w:themeColor="accent1"/>
          <w:sz w:val="25"/>
          <w:szCs w:val="25"/>
          <w:u w:val="single"/>
        </w:rPr>
      </w:pPr>
    </w:p>
    <w:p w14:paraId="6DCFBB65" w14:textId="77777777" w:rsidR="004B5C12" w:rsidRPr="001B7F57" w:rsidRDefault="004B5C12" w:rsidP="004B5C12">
      <w:pPr>
        <w:pStyle w:val="ListParagraph"/>
        <w:numPr>
          <w:ilvl w:val="0"/>
          <w:numId w:val="6"/>
        </w:numPr>
        <w:spacing w:after="0" w:line="240" w:lineRule="auto"/>
        <w:ind w:left="2160" w:hanging="720"/>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 xml:space="preserve">Setbacks.  Every part of a freestanding system, including components elevated above the ground, components that track and move, and necessary accessory equipment that is ground mounted, shall conform to required setbacks for the zoning district.  </w:t>
      </w:r>
    </w:p>
    <w:p w14:paraId="2E0270EF" w14:textId="77777777" w:rsidR="00D55E1D" w:rsidRDefault="00D55E1D" w:rsidP="004B5C12">
      <w:pPr>
        <w:ind w:left="2160" w:hanging="720"/>
        <w:rPr>
          <w:color w:val="4472C4" w:themeColor="accent1"/>
          <w:sz w:val="25"/>
          <w:szCs w:val="25"/>
        </w:rPr>
      </w:pPr>
    </w:p>
    <w:p w14:paraId="37580115" w14:textId="36F69D6F" w:rsidR="004B5C12" w:rsidRPr="001B7F57" w:rsidRDefault="004B5C12" w:rsidP="004B5C12">
      <w:pPr>
        <w:ind w:left="2160" w:hanging="720"/>
        <w:rPr>
          <w:color w:val="4472C4" w:themeColor="accent1"/>
          <w:sz w:val="25"/>
          <w:szCs w:val="25"/>
          <w:u w:val="single"/>
        </w:rPr>
      </w:pPr>
      <w:r w:rsidRPr="00D55E1D">
        <w:rPr>
          <w:color w:val="4472C4" w:themeColor="accent1"/>
          <w:sz w:val="25"/>
          <w:szCs w:val="25"/>
        </w:rPr>
        <w:t>c.</w:t>
      </w:r>
      <w:r w:rsidRPr="00D55E1D">
        <w:rPr>
          <w:color w:val="4472C4" w:themeColor="accent1"/>
          <w:sz w:val="25"/>
          <w:szCs w:val="25"/>
        </w:rPr>
        <w:tab/>
      </w:r>
      <w:r w:rsidRPr="001B7F57">
        <w:rPr>
          <w:color w:val="4472C4" w:themeColor="accent1"/>
          <w:sz w:val="25"/>
          <w:szCs w:val="25"/>
          <w:u w:val="single"/>
        </w:rPr>
        <w:t>Maximum height.  For building-mounted systems, the maximum height for any part of the system is ten feet above the ridge of the roof of the primary building or ten feet above the highest part of the roof of the primary building where there is no ridge. The maximum height for freestanding systems is 25 feet (excludes Solar PV Parking Canopy).</w:t>
      </w:r>
    </w:p>
    <w:p w14:paraId="462E5C18" w14:textId="77777777" w:rsidR="004B5C12" w:rsidRPr="001B7F57" w:rsidRDefault="004B5C12" w:rsidP="004B5C12">
      <w:pPr>
        <w:ind w:left="2160" w:hanging="720"/>
        <w:rPr>
          <w:b/>
          <w:i/>
          <w:color w:val="4472C4" w:themeColor="accent1"/>
          <w:u w:val="single"/>
        </w:rPr>
      </w:pPr>
    </w:p>
    <w:p w14:paraId="7B8FD9E9" w14:textId="77777777" w:rsidR="004B5C12" w:rsidRPr="001B7F57" w:rsidRDefault="004B5C12" w:rsidP="004B5C12">
      <w:pPr>
        <w:ind w:left="2250"/>
        <w:rPr>
          <w:color w:val="4472C4" w:themeColor="accent1"/>
          <w:sz w:val="25"/>
          <w:szCs w:val="25"/>
          <w:u w:val="single"/>
        </w:rPr>
      </w:pPr>
      <w:r w:rsidRPr="001B7F57">
        <w:rPr>
          <w:color w:val="4472C4" w:themeColor="accent1"/>
          <w:sz w:val="25"/>
          <w:szCs w:val="25"/>
          <w:u w:val="single"/>
        </w:rPr>
        <w:t>A freestanding system exceeding 25 feet in height may be approved by special exception provided all of the following conditions are met:</w:t>
      </w:r>
    </w:p>
    <w:p w14:paraId="58A7ADA3" w14:textId="77777777" w:rsidR="004B5C12" w:rsidRPr="001B7F57" w:rsidRDefault="004B5C12" w:rsidP="004B5C12">
      <w:pPr>
        <w:ind w:left="2250" w:hanging="360"/>
        <w:rPr>
          <w:color w:val="4472C4" w:themeColor="accent1"/>
          <w:sz w:val="25"/>
          <w:szCs w:val="25"/>
          <w:u w:val="single"/>
        </w:rPr>
      </w:pPr>
    </w:p>
    <w:p w14:paraId="33BD38EE" w14:textId="77777777" w:rsidR="004B5C12" w:rsidRPr="001B7F57" w:rsidRDefault="004B5C12" w:rsidP="003E6E38">
      <w:pPr>
        <w:pStyle w:val="ListParagraph"/>
        <w:numPr>
          <w:ilvl w:val="0"/>
          <w:numId w:val="13"/>
        </w:numPr>
        <w:spacing w:after="0" w:line="240" w:lineRule="auto"/>
        <w:ind w:left="2700" w:hanging="360"/>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The system does not exceed 35 feet in height;</w:t>
      </w:r>
    </w:p>
    <w:p w14:paraId="7D3DDFD1" w14:textId="77777777" w:rsidR="004B5C12" w:rsidRPr="001B7F57" w:rsidRDefault="004B5C12" w:rsidP="003E6E38">
      <w:pPr>
        <w:pStyle w:val="ListParagraph"/>
        <w:numPr>
          <w:ilvl w:val="0"/>
          <w:numId w:val="13"/>
        </w:numPr>
        <w:spacing w:after="0" w:line="240" w:lineRule="auto"/>
        <w:ind w:left="2700" w:hanging="360"/>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The system is located in the Rural, Residence Coastal, Office Research – Route 108, Mixed Use and Office Research, Office Research Light Industry, or Durham Business Park district;  and</w:t>
      </w:r>
    </w:p>
    <w:p w14:paraId="49C06191" w14:textId="77777777" w:rsidR="004B5C12" w:rsidRPr="001B7F57" w:rsidRDefault="004B5C12" w:rsidP="003E6E38">
      <w:pPr>
        <w:pStyle w:val="ListParagraph"/>
        <w:numPr>
          <w:ilvl w:val="0"/>
          <w:numId w:val="13"/>
        </w:numPr>
        <w:spacing w:after="0" w:line="240" w:lineRule="auto"/>
        <w:ind w:left="2700" w:hanging="360"/>
        <w:contextualSpacing w:val="0"/>
        <w:rPr>
          <w:rFonts w:ascii="Times New Roman" w:hAnsi="Times New Roman"/>
          <w:color w:val="4472C4" w:themeColor="accent1"/>
          <w:sz w:val="25"/>
          <w:szCs w:val="25"/>
          <w:u w:val="single"/>
        </w:rPr>
      </w:pPr>
      <w:r w:rsidRPr="001B7F57">
        <w:rPr>
          <w:rFonts w:ascii="Times New Roman" w:hAnsi="Times New Roman"/>
          <w:color w:val="4472C4" w:themeColor="accent1"/>
          <w:sz w:val="25"/>
          <w:szCs w:val="25"/>
          <w:u w:val="single"/>
        </w:rPr>
        <w:t>All other pertinent provisions for solar energy systems apply.</w:t>
      </w:r>
    </w:p>
    <w:p w14:paraId="66FB4A81" w14:textId="2EB350D9" w:rsidR="004B5C12" w:rsidRPr="001B7F57" w:rsidRDefault="004B5C12" w:rsidP="004B5C12">
      <w:pPr>
        <w:ind w:left="2160" w:hanging="720"/>
        <w:rPr>
          <w:b/>
          <w:i/>
          <w:color w:val="4472C4" w:themeColor="accent1"/>
          <w:sz w:val="25"/>
          <w:szCs w:val="25"/>
          <w:u w:val="single"/>
        </w:rPr>
      </w:pPr>
      <w:r w:rsidRPr="001B7F57">
        <w:rPr>
          <w:b/>
          <w:i/>
          <w:color w:val="4472C4" w:themeColor="accent1"/>
          <w:u w:val="single"/>
        </w:rPr>
        <w:t xml:space="preserve"> </w:t>
      </w:r>
    </w:p>
    <w:p w14:paraId="516618CB" w14:textId="77777777" w:rsidR="004B5C12" w:rsidRPr="001B7F57" w:rsidRDefault="004B5C12" w:rsidP="004B5C12">
      <w:pPr>
        <w:ind w:left="2160" w:hanging="720"/>
        <w:rPr>
          <w:color w:val="4472C4" w:themeColor="accent1"/>
          <w:sz w:val="25"/>
          <w:szCs w:val="25"/>
          <w:u w:val="single"/>
        </w:rPr>
      </w:pPr>
      <w:r w:rsidRPr="00797A13">
        <w:rPr>
          <w:color w:val="4472C4" w:themeColor="accent1"/>
          <w:sz w:val="25"/>
          <w:szCs w:val="25"/>
        </w:rPr>
        <w:t>d.</w:t>
      </w:r>
      <w:r w:rsidRPr="00797A13">
        <w:rPr>
          <w:color w:val="4472C4" w:themeColor="accent1"/>
          <w:sz w:val="25"/>
          <w:szCs w:val="25"/>
        </w:rPr>
        <w:tab/>
      </w:r>
      <w:r w:rsidRPr="001B7F57">
        <w:rPr>
          <w:color w:val="4472C4" w:themeColor="accent1"/>
          <w:sz w:val="25"/>
          <w:szCs w:val="25"/>
          <w:u w:val="single"/>
        </w:rPr>
        <w:t xml:space="preserve">Impervious surface.  The maximum impervious surface ratio in the Table of Dimensions   applies to what is on the ground under the solar panels.  The solar panels themselves do not count toward impervious surface </w:t>
      </w:r>
    </w:p>
    <w:p w14:paraId="7690D846" w14:textId="77777777" w:rsidR="00797A13" w:rsidRDefault="00797A13" w:rsidP="004B5C12">
      <w:pPr>
        <w:ind w:left="2160" w:hanging="720"/>
        <w:rPr>
          <w:color w:val="4472C4" w:themeColor="accent1"/>
          <w:sz w:val="25"/>
          <w:szCs w:val="25"/>
        </w:rPr>
      </w:pPr>
    </w:p>
    <w:p w14:paraId="194D3A65" w14:textId="00B9E4F2" w:rsidR="004B5C12" w:rsidRPr="001B7F57" w:rsidRDefault="004B5C12" w:rsidP="004B5C12">
      <w:pPr>
        <w:ind w:left="2160" w:hanging="720"/>
        <w:rPr>
          <w:color w:val="4472C4" w:themeColor="accent1"/>
          <w:sz w:val="25"/>
          <w:szCs w:val="25"/>
          <w:u w:val="single"/>
        </w:rPr>
      </w:pPr>
      <w:r w:rsidRPr="00797A13">
        <w:rPr>
          <w:color w:val="4472C4" w:themeColor="accent1"/>
          <w:sz w:val="25"/>
          <w:szCs w:val="25"/>
        </w:rPr>
        <w:t>e.</w:t>
      </w:r>
      <w:r w:rsidRPr="00797A13">
        <w:rPr>
          <w:color w:val="4472C4" w:themeColor="accent1"/>
          <w:sz w:val="25"/>
          <w:szCs w:val="25"/>
        </w:rPr>
        <w:tab/>
      </w:r>
      <w:r w:rsidRPr="001B7F57">
        <w:rPr>
          <w:color w:val="4472C4" w:themeColor="accent1"/>
          <w:sz w:val="25"/>
          <w:szCs w:val="25"/>
          <w:u w:val="single"/>
        </w:rPr>
        <w:t xml:space="preserve">Submission requirements.  Applicants for projects that require a site plan shall submit all pertinent information, including specifications for the equipment, to the Planning Board, as specified in the Site Plan Regulations.  Applicants for a special exception shall submit plans </w:t>
      </w:r>
      <w:r w:rsidRPr="001B7F57">
        <w:rPr>
          <w:color w:val="4472C4" w:themeColor="accent1"/>
          <w:sz w:val="25"/>
          <w:szCs w:val="25"/>
          <w:u w:val="single"/>
        </w:rPr>
        <w:lastRenderedPageBreak/>
        <w:t xml:space="preserve">showing all pertinent aspects of the project and all elements specified by the Zoning Board of Adjustment. </w:t>
      </w:r>
    </w:p>
    <w:p w14:paraId="1E984320" w14:textId="77777777" w:rsidR="00797A13" w:rsidRDefault="00797A13" w:rsidP="004B5C12">
      <w:pPr>
        <w:ind w:left="2160" w:hanging="720"/>
        <w:rPr>
          <w:iCs/>
          <w:color w:val="4472C4" w:themeColor="accent1"/>
          <w:sz w:val="25"/>
          <w:szCs w:val="25"/>
        </w:rPr>
      </w:pPr>
    </w:p>
    <w:p w14:paraId="41BB3981" w14:textId="2DC5F6C2" w:rsidR="004B5C12" w:rsidRPr="001B7F57" w:rsidRDefault="004B5C12" w:rsidP="004B5C12">
      <w:pPr>
        <w:ind w:left="2160" w:hanging="720"/>
        <w:rPr>
          <w:color w:val="4472C4" w:themeColor="accent1"/>
          <w:sz w:val="25"/>
          <w:szCs w:val="25"/>
          <w:u w:val="single"/>
        </w:rPr>
      </w:pPr>
      <w:r w:rsidRPr="00797A13">
        <w:rPr>
          <w:iCs/>
          <w:color w:val="4472C4" w:themeColor="accent1"/>
          <w:sz w:val="25"/>
          <w:szCs w:val="25"/>
        </w:rPr>
        <w:t>f.</w:t>
      </w:r>
      <w:r w:rsidRPr="00797A13">
        <w:rPr>
          <w:iCs/>
          <w:color w:val="4472C4" w:themeColor="accent1"/>
          <w:sz w:val="25"/>
          <w:szCs w:val="25"/>
        </w:rPr>
        <w:tab/>
      </w:r>
      <w:r w:rsidRPr="001B7F57">
        <w:rPr>
          <w:iCs/>
          <w:color w:val="4472C4" w:themeColor="accent1"/>
          <w:sz w:val="25"/>
          <w:szCs w:val="25"/>
          <w:u w:val="single"/>
        </w:rPr>
        <w:t xml:space="preserve">Decommissioning.  Applicants for a Solar Energy System that requires a Site Plan review shall submit a plan as part of that review for the removal of the structures and reclamation of the site when the system is no longer in use.  It is expected that the decommissioning plan will specify the removal and disposal of photovoltaic panels using a means allowed by applicable state and federal regulations at the time of decommissioning. </w:t>
      </w:r>
    </w:p>
    <w:p w14:paraId="774BFDF7" w14:textId="77777777" w:rsidR="00797A13" w:rsidRDefault="00797A13" w:rsidP="004B5C12">
      <w:pPr>
        <w:ind w:left="2160" w:hanging="720"/>
        <w:rPr>
          <w:color w:val="4472C4" w:themeColor="accent1"/>
          <w:sz w:val="25"/>
          <w:szCs w:val="25"/>
        </w:rPr>
      </w:pPr>
    </w:p>
    <w:p w14:paraId="16A1FA82" w14:textId="5253E383" w:rsidR="004B5C12" w:rsidRPr="001B7F57" w:rsidRDefault="004B5C12" w:rsidP="004B5C12">
      <w:pPr>
        <w:ind w:left="2160" w:hanging="720"/>
        <w:rPr>
          <w:color w:val="4472C4" w:themeColor="accent1"/>
          <w:sz w:val="25"/>
          <w:szCs w:val="25"/>
          <w:u w:val="single"/>
        </w:rPr>
      </w:pPr>
      <w:r w:rsidRPr="00797A13">
        <w:rPr>
          <w:color w:val="4472C4" w:themeColor="accent1"/>
          <w:sz w:val="25"/>
          <w:szCs w:val="25"/>
        </w:rPr>
        <w:t>g.</w:t>
      </w:r>
      <w:r w:rsidRPr="00797A13">
        <w:rPr>
          <w:color w:val="4472C4" w:themeColor="accent1"/>
          <w:sz w:val="25"/>
          <w:szCs w:val="25"/>
        </w:rPr>
        <w:tab/>
      </w:r>
      <w:r w:rsidRPr="001B7F57">
        <w:rPr>
          <w:color w:val="4472C4" w:themeColor="accent1"/>
          <w:sz w:val="25"/>
          <w:szCs w:val="25"/>
          <w:u w:val="single"/>
        </w:rPr>
        <w:t xml:space="preserve">Historic District.  Additional procedures and standards for proposed solar energy systems located within the Durham Historic District are contained in Article XVII of this ordinance.  </w:t>
      </w:r>
    </w:p>
    <w:p w14:paraId="5F140BDD" w14:textId="77777777" w:rsidR="004B5C12" w:rsidRPr="001B7F57" w:rsidRDefault="004B5C12" w:rsidP="004B5C12">
      <w:pPr>
        <w:ind w:left="2160" w:hanging="720"/>
        <w:rPr>
          <w:color w:val="4472C4" w:themeColor="accent1"/>
          <w:sz w:val="25"/>
          <w:szCs w:val="25"/>
          <w:u w:val="single"/>
        </w:rPr>
      </w:pPr>
    </w:p>
    <w:p w14:paraId="1F1817CC" w14:textId="77777777" w:rsidR="004B5C12" w:rsidRPr="001B7F57" w:rsidRDefault="004B5C12" w:rsidP="004B5C12">
      <w:pPr>
        <w:ind w:left="2160" w:hanging="720"/>
        <w:rPr>
          <w:strike/>
          <w:color w:val="4472C4" w:themeColor="accent1"/>
          <w:sz w:val="25"/>
          <w:szCs w:val="25"/>
          <w:u w:val="single"/>
        </w:rPr>
      </w:pPr>
      <w:r w:rsidRPr="00797A13">
        <w:rPr>
          <w:color w:val="4472C4" w:themeColor="accent1"/>
          <w:sz w:val="25"/>
          <w:szCs w:val="25"/>
        </w:rPr>
        <w:t>h.</w:t>
      </w:r>
      <w:r w:rsidRPr="00797A13">
        <w:rPr>
          <w:color w:val="4472C4" w:themeColor="accent1"/>
          <w:sz w:val="25"/>
          <w:szCs w:val="25"/>
        </w:rPr>
        <w:tab/>
      </w:r>
      <w:r w:rsidRPr="001B7F57">
        <w:rPr>
          <w:color w:val="4472C4" w:themeColor="accent1"/>
          <w:sz w:val="25"/>
          <w:szCs w:val="25"/>
          <w:u w:val="single"/>
        </w:rPr>
        <w:t>Site Plan Review is not required for any building mounted system.</w:t>
      </w:r>
    </w:p>
    <w:p w14:paraId="7A136299" w14:textId="77777777" w:rsidR="004B5C12" w:rsidRPr="00B519D4" w:rsidRDefault="004B5C12" w:rsidP="004B5C12">
      <w:pPr>
        <w:ind w:right="990"/>
        <w:rPr>
          <w:rStyle w:val="fontstyle01"/>
          <w:rFonts w:ascii="Book Antiqua" w:hAnsi="Book Antiqua"/>
          <w:b/>
          <w:bCs/>
        </w:rPr>
      </w:pPr>
    </w:p>
    <w:bookmarkEnd w:id="0"/>
    <w:sectPr w:rsidR="004B5C12" w:rsidRPr="00B519D4" w:rsidSect="002B4DFD">
      <w:headerReference w:type="even" r:id="rId9"/>
      <w:headerReference w:type="default" r:id="rId10"/>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1AC4" w14:textId="77777777" w:rsidR="00177890" w:rsidRDefault="00177890">
      <w:r>
        <w:separator/>
      </w:r>
    </w:p>
  </w:endnote>
  <w:endnote w:type="continuationSeparator" w:id="0">
    <w:p w14:paraId="357E767C" w14:textId="77777777" w:rsidR="00177890" w:rsidRDefault="0017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font>
  <w:font w:name="BookAntiqu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9FE8" w14:textId="3397A572" w:rsidR="004B5C12" w:rsidRDefault="00DC31AB" w:rsidP="00C142F0">
    <w:pPr>
      <w:pStyle w:val="Footer"/>
    </w:pPr>
    <w:sdt>
      <w:sdtPr>
        <w:id w:val="-104193809"/>
        <w:docPartObj>
          <w:docPartGallery w:val="Page Numbers (Bottom of Page)"/>
          <w:docPartUnique/>
        </w:docPartObj>
      </w:sdtPr>
      <w:sdtEndPr>
        <w:rPr>
          <w:noProof/>
        </w:rPr>
      </w:sdtEndPr>
      <w:sdtContent>
        <w:r w:rsidR="004B5C12">
          <w:tab/>
        </w:r>
        <w:r w:rsidR="002B4DFD">
          <w:t xml:space="preserve">       </w:t>
        </w:r>
        <w:r w:rsidR="00F00627">
          <w:t xml:space="preserve">            </w:t>
        </w:r>
        <w:r w:rsidR="002B4DFD">
          <w:t xml:space="preserve"> </w:t>
        </w:r>
        <w:r w:rsidR="004B5C12">
          <w:fldChar w:fldCharType="begin"/>
        </w:r>
        <w:r w:rsidR="004B5C12">
          <w:instrText xml:space="preserve"> PAGE   \* MERGEFORMAT </w:instrText>
        </w:r>
        <w:r w:rsidR="004B5C12">
          <w:fldChar w:fldCharType="separate"/>
        </w:r>
        <w:r w:rsidR="004B5C12">
          <w:rPr>
            <w:noProof/>
          </w:rPr>
          <w:t>12</w:t>
        </w:r>
        <w:r w:rsidR="004B5C12">
          <w:rPr>
            <w:noProof/>
          </w:rPr>
          <w:fldChar w:fldCharType="end"/>
        </w:r>
      </w:sdtContent>
    </w:sdt>
  </w:p>
  <w:p w14:paraId="41E48D54" w14:textId="77777777" w:rsidR="004B5C12" w:rsidRDefault="004B5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1C0E" w14:textId="77777777" w:rsidR="00177890" w:rsidRDefault="00177890">
      <w:r>
        <w:separator/>
      </w:r>
    </w:p>
  </w:footnote>
  <w:footnote w:type="continuationSeparator" w:id="0">
    <w:p w14:paraId="07C08165" w14:textId="77777777" w:rsidR="00177890" w:rsidRDefault="0017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147C" w14:textId="1BFAB303" w:rsidR="003A2A45" w:rsidRDefault="003A2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17F0" w14:textId="7BB23FEB" w:rsidR="0004496E" w:rsidRDefault="0004496E">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B4AC" w14:textId="27E51F9E" w:rsidR="003A2A45" w:rsidRDefault="003A2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6772"/>
    <w:multiLevelType w:val="hybridMultilevel"/>
    <w:tmpl w:val="847AB8AC"/>
    <w:lvl w:ilvl="0" w:tplc="C8888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3D1359"/>
    <w:multiLevelType w:val="hybridMultilevel"/>
    <w:tmpl w:val="A740F32E"/>
    <w:lvl w:ilvl="0" w:tplc="D27EE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9451B"/>
    <w:multiLevelType w:val="hybridMultilevel"/>
    <w:tmpl w:val="C73CB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A0DC2"/>
    <w:multiLevelType w:val="hybridMultilevel"/>
    <w:tmpl w:val="EEFE4EE6"/>
    <w:lvl w:ilvl="0" w:tplc="EFF2BE36">
      <w:start w:val="4"/>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347D2"/>
    <w:multiLevelType w:val="hybridMultilevel"/>
    <w:tmpl w:val="0C545C44"/>
    <w:lvl w:ilvl="0" w:tplc="21C60934">
      <w:start w:val="1"/>
      <w:numFmt w:val="decimal"/>
      <w:lvlText w:val="%1."/>
      <w:lvlJc w:val="left"/>
      <w:pPr>
        <w:tabs>
          <w:tab w:val="num" w:pos="1350"/>
        </w:tabs>
        <w:ind w:left="1350" w:hanging="36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6EC1DF2"/>
    <w:multiLevelType w:val="hybridMultilevel"/>
    <w:tmpl w:val="847AB8AC"/>
    <w:lvl w:ilvl="0" w:tplc="C8888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F0789D"/>
    <w:multiLevelType w:val="hybridMultilevel"/>
    <w:tmpl w:val="053AEE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E5198"/>
    <w:multiLevelType w:val="hybridMultilevel"/>
    <w:tmpl w:val="076C026E"/>
    <w:lvl w:ilvl="0" w:tplc="04090019">
      <w:start w:val="1"/>
      <w:numFmt w:val="lowerLetter"/>
      <w:lvlText w:val="%1."/>
      <w:lvlJc w:val="left"/>
      <w:pPr>
        <w:ind w:left="54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509BE"/>
    <w:multiLevelType w:val="hybridMultilevel"/>
    <w:tmpl w:val="A686FBE6"/>
    <w:lvl w:ilvl="0" w:tplc="3EBE7E4A">
      <w:start w:val="1"/>
      <w:numFmt w:val="upperLetter"/>
      <w:lvlText w:val="%1."/>
      <w:lvlJc w:val="left"/>
      <w:pPr>
        <w:tabs>
          <w:tab w:val="num" w:pos="810"/>
        </w:tabs>
        <w:ind w:left="810" w:hanging="360"/>
      </w:pPr>
      <w:rPr>
        <w:rFonts w:hint="default"/>
        <w:b w:val="0"/>
        <w:i w:val="0"/>
      </w:rPr>
    </w:lvl>
    <w:lvl w:ilvl="1" w:tplc="04090019">
      <w:start w:val="1"/>
      <w:numFmt w:val="lowerLetter"/>
      <w:lvlText w:val="%2."/>
      <w:lvlJc w:val="left"/>
      <w:pPr>
        <w:tabs>
          <w:tab w:val="num" w:pos="1440"/>
        </w:tabs>
        <w:ind w:left="1440" w:hanging="360"/>
      </w:pPr>
    </w:lvl>
    <w:lvl w:ilvl="2" w:tplc="3A08D34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747A3"/>
    <w:multiLevelType w:val="hybridMultilevel"/>
    <w:tmpl w:val="799CBD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4C78E3"/>
    <w:multiLevelType w:val="hybridMultilevel"/>
    <w:tmpl w:val="20F6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D285D"/>
    <w:multiLevelType w:val="hybridMultilevel"/>
    <w:tmpl w:val="EC66BF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41079"/>
    <w:multiLevelType w:val="hybridMultilevel"/>
    <w:tmpl w:val="4A2E4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D58C8"/>
    <w:multiLevelType w:val="hybridMultilevel"/>
    <w:tmpl w:val="594082AE"/>
    <w:lvl w:ilvl="0" w:tplc="EA5EA642">
      <w:start w:val="1"/>
      <w:numFmt w:val="lowerLetter"/>
      <w:lvlText w:val="%1."/>
      <w:lvlJc w:val="left"/>
      <w:pPr>
        <w:ind w:left="1800" w:hanging="360"/>
      </w:pPr>
      <w:rPr>
        <w:rFonts w:hint="default"/>
        <w:color w:val="auto"/>
      </w:rPr>
    </w:lvl>
    <w:lvl w:ilvl="1" w:tplc="F8B4D7A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4D1F18"/>
    <w:multiLevelType w:val="hybridMultilevel"/>
    <w:tmpl w:val="57DADD2A"/>
    <w:lvl w:ilvl="0" w:tplc="E88CE68E">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A6F400A"/>
    <w:multiLevelType w:val="hybridMultilevel"/>
    <w:tmpl w:val="847AB8AC"/>
    <w:lvl w:ilvl="0" w:tplc="C88880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5898405">
    <w:abstractNumId w:val="6"/>
  </w:num>
  <w:num w:numId="2" w16cid:durableId="2073194156">
    <w:abstractNumId w:val="11"/>
  </w:num>
  <w:num w:numId="3" w16cid:durableId="2142915440">
    <w:abstractNumId w:val="7"/>
  </w:num>
  <w:num w:numId="4" w16cid:durableId="1204907279">
    <w:abstractNumId w:val="12"/>
  </w:num>
  <w:num w:numId="5" w16cid:durableId="1588274137">
    <w:abstractNumId w:val="5"/>
  </w:num>
  <w:num w:numId="6" w16cid:durableId="72624037">
    <w:abstractNumId w:val="2"/>
  </w:num>
  <w:num w:numId="7" w16cid:durableId="266817321">
    <w:abstractNumId w:val="13"/>
  </w:num>
  <w:num w:numId="8" w16cid:durableId="1448695425">
    <w:abstractNumId w:val="10"/>
  </w:num>
  <w:num w:numId="9" w16cid:durableId="1618364997">
    <w:abstractNumId w:val="9"/>
  </w:num>
  <w:num w:numId="10" w16cid:durableId="132646141">
    <w:abstractNumId w:val="14"/>
  </w:num>
  <w:num w:numId="11" w16cid:durableId="1851871176">
    <w:abstractNumId w:val="0"/>
  </w:num>
  <w:num w:numId="12" w16cid:durableId="1920629986">
    <w:abstractNumId w:val="15"/>
  </w:num>
  <w:num w:numId="13" w16cid:durableId="58090728">
    <w:abstractNumId w:val="1"/>
  </w:num>
  <w:num w:numId="14" w16cid:durableId="1878003476">
    <w:abstractNumId w:val="3"/>
  </w:num>
  <w:num w:numId="15" w16cid:durableId="1656911174">
    <w:abstractNumId w:val="4"/>
  </w:num>
  <w:num w:numId="16" w16cid:durableId="18033800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5E"/>
    <w:rsid w:val="00000D1D"/>
    <w:rsid w:val="000049BA"/>
    <w:rsid w:val="0000551C"/>
    <w:rsid w:val="000239C9"/>
    <w:rsid w:val="00023E53"/>
    <w:rsid w:val="000331DB"/>
    <w:rsid w:val="00043409"/>
    <w:rsid w:val="0004418A"/>
    <w:rsid w:val="0004496E"/>
    <w:rsid w:val="000459F0"/>
    <w:rsid w:val="000504CB"/>
    <w:rsid w:val="00054F4D"/>
    <w:rsid w:val="00060D5F"/>
    <w:rsid w:val="00061BA2"/>
    <w:rsid w:val="00085542"/>
    <w:rsid w:val="000A4B86"/>
    <w:rsid w:val="000A6F4B"/>
    <w:rsid w:val="000A7DB5"/>
    <w:rsid w:val="000C0296"/>
    <w:rsid w:val="000C02A4"/>
    <w:rsid w:val="000C553D"/>
    <w:rsid w:val="000C553E"/>
    <w:rsid w:val="000D3509"/>
    <w:rsid w:val="000E214B"/>
    <w:rsid w:val="000E2F81"/>
    <w:rsid w:val="000E3022"/>
    <w:rsid w:val="000F1685"/>
    <w:rsid w:val="000F608F"/>
    <w:rsid w:val="001230E0"/>
    <w:rsid w:val="00130D31"/>
    <w:rsid w:val="00132AF1"/>
    <w:rsid w:val="00135F5F"/>
    <w:rsid w:val="001613FC"/>
    <w:rsid w:val="00177890"/>
    <w:rsid w:val="00183151"/>
    <w:rsid w:val="001A2C35"/>
    <w:rsid w:val="001A6C0A"/>
    <w:rsid w:val="001B14E0"/>
    <w:rsid w:val="001B1835"/>
    <w:rsid w:val="001B7F57"/>
    <w:rsid w:val="001C155A"/>
    <w:rsid w:val="001D30E3"/>
    <w:rsid w:val="001D592D"/>
    <w:rsid w:val="001E0308"/>
    <w:rsid w:val="001E6F74"/>
    <w:rsid w:val="00210999"/>
    <w:rsid w:val="0023191A"/>
    <w:rsid w:val="00233F88"/>
    <w:rsid w:val="002368B1"/>
    <w:rsid w:val="00245BE4"/>
    <w:rsid w:val="00253FA9"/>
    <w:rsid w:val="002911AC"/>
    <w:rsid w:val="002B4DFD"/>
    <w:rsid w:val="002B625C"/>
    <w:rsid w:val="002B643F"/>
    <w:rsid w:val="002B7469"/>
    <w:rsid w:val="002C28F5"/>
    <w:rsid w:val="002C3C8C"/>
    <w:rsid w:val="002C5F53"/>
    <w:rsid w:val="002D31D5"/>
    <w:rsid w:val="002D6397"/>
    <w:rsid w:val="002E0D3E"/>
    <w:rsid w:val="002E57C9"/>
    <w:rsid w:val="002E7D8D"/>
    <w:rsid w:val="003033BF"/>
    <w:rsid w:val="00303EAA"/>
    <w:rsid w:val="00305E2D"/>
    <w:rsid w:val="003141A9"/>
    <w:rsid w:val="00324D05"/>
    <w:rsid w:val="00327B7C"/>
    <w:rsid w:val="003305CC"/>
    <w:rsid w:val="003444CC"/>
    <w:rsid w:val="00370275"/>
    <w:rsid w:val="00375831"/>
    <w:rsid w:val="003807A1"/>
    <w:rsid w:val="00384740"/>
    <w:rsid w:val="00390040"/>
    <w:rsid w:val="003A2A45"/>
    <w:rsid w:val="003A7806"/>
    <w:rsid w:val="003B5CBE"/>
    <w:rsid w:val="003C682D"/>
    <w:rsid w:val="003D1919"/>
    <w:rsid w:val="003D5ABA"/>
    <w:rsid w:val="003E64A5"/>
    <w:rsid w:val="003E6E38"/>
    <w:rsid w:val="003F40FF"/>
    <w:rsid w:val="003F7CB0"/>
    <w:rsid w:val="00411B5B"/>
    <w:rsid w:val="00412BB9"/>
    <w:rsid w:val="00422547"/>
    <w:rsid w:val="00423C13"/>
    <w:rsid w:val="0043061B"/>
    <w:rsid w:val="00447DF0"/>
    <w:rsid w:val="00450E8A"/>
    <w:rsid w:val="00455268"/>
    <w:rsid w:val="00466564"/>
    <w:rsid w:val="00475A5C"/>
    <w:rsid w:val="00484A85"/>
    <w:rsid w:val="00485816"/>
    <w:rsid w:val="004866B5"/>
    <w:rsid w:val="004879ED"/>
    <w:rsid w:val="004915D8"/>
    <w:rsid w:val="00493DC8"/>
    <w:rsid w:val="004961EB"/>
    <w:rsid w:val="004B5C12"/>
    <w:rsid w:val="004C1DD4"/>
    <w:rsid w:val="004E4974"/>
    <w:rsid w:val="004F3FDB"/>
    <w:rsid w:val="004F669A"/>
    <w:rsid w:val="005068B0"/>
    <w:rsid w:val="00526BFC"/>
    <w:rsid w:val="00546D96"/>
    <w:rsid w:val="0057223F"/>
    <w:rsid w:val="005814BE"/>
    <w:rsid w:val="005A387B"/>
    <w:rsid w:val="005A57D3"/>
    <w:rsid w:val="005B52BC"/>
    <w:rsid w:val="005B696A"/>
    <w:rsid w:val="005B7940"/>
    <w:rsid w:val="005D1CE2"/>
    <w:rsid w:val="00613386"/>
    <w:rsid w:val="006202B0"/>
    <w:rsid w:val="00624907"/>
    <w:rsid w:val="00633C62"/>
    <w:rsid w:val="00635EB2"/>
    <w:rsid w:val="00675525"/>
    <w:rsid w:val="006924FF"/>
    <w:rsid w:val="00696D43"/>
    <w:rsid w:val="006A3AB9"/>
    <w:rsid w:val="006D0DF4"/>
    <w:rsid w:val="006D197F"/>
    <w:rsid w:val="006D5A6E"/>
    <w:rsid w:val="006E19C6"/>
    <w:rsid w:val="006F65A7"/>
    <w:rsid w:val="006F7366"/>
    <w:rsid w:val="0070007B"/>
    <w:rsid w:val="00704C25"/>
    <w:rsid w:val="00714171"/>
    <w:rsid w:val="007217DB"/>
    <w:rsid w:val="00741965"/>
    <w:rsid w:val="0075083C"/>
    <w:rsid w:val="00753D78"/>
    <w:rsid w:val="00771270"/>
    <w:rsid w:val="00772DD6"/>
    <w:rsid w:val="00776723"/>
    <w:rsid w:val="00780066"/>
    <w:rsid w:val="00786DC7"/>
    <w:rsid w:val="0079268D"/>
    <w:rsid w:val="00795160"/>
    <w:rsid w:val="00797A13"/>
    <w:rsid w:val="007A099B"/>
    <w:rsid w:val="007A1AD9"/>
    <w:rsid w:val="007A41C9"/>
    <w:rsid w:val="007A6A5E"/>
    <w:rsid w:val="007B516D"/>
    <w:rsid w:val="007C573A"/>
    <w:rsid w:val="007C5F46"/>
    <w:rsid w:val="007E2272"/>
    <w:rsid w:val="007E2486"/>
    <w:rsid w:val="007F4E68"/>
    <w:rsid w:val="00802322"/>
    <w:rsid w:val="008113BC"/>
    <w:rsid w:val="00814009"/>
    <w:rsid w:val="008141D5"/>
    <w:rsid w:val="00831388"/>
    <w:rsid w:val="008409B0"/>
    <w:rsid w:val="00844205"/>
    <w:rsid w:val="00853ED8"/>
    <w:rsid w:val="0085464E"/>
    <w:rsid w:val="00867596"/>
    <w:rsid w:val="0088165C"/>
    <w:rsid w:val="008A08F5"/>
    <w:rsid w:val="008A1CBA"/>
    <w:rsid w:val="008A4F2A"/>
    <w:rsid w:val="008B2A32"/>
    <w:rsid w:val="008D1E76"/>
    <w:rsid w:val="008D30BF"/>
    <w:rsid w:val="008D4E98"/>
    <w:rsid w:val="008E0A90"/>
    <w:rsid w:val="009157EA"/>
    <w:rsid w:val="009311B3"/>
    <w:rsid w:val="0093202D"/>
    <w:rsid w:val="009357DA"/>
    <w:rsid w:val="009360C2"/>
    <w:rsid w:val="009534D7"/>
    <w:rsid w:val="00963398"/>
    <w:rsid w:val="00967667"/>
    <w:rsid w:val="009706E4"/>
    <w:rsid w:val="0098231A"/>
    <w:rsid w:val="009A3B2F"/>
    <w:rsid w:val="009B36F6"/>
    <w:rsid w:val="009B59E3"/>
    <w:rsid w:val="009D0987"/>
    <w:rsid w:val="009D24E8"/>
    <w:rsid w:val="009E6A52"/>
    <w:rsid w:val="009E6EF6"/>
    <w:rsid w:val="00A0502A"/>
    <w:rsid w:val="00A201D3"/>
    <w:rsid w:val="00A20F81"/>
    <w:rsid w:val="00A3041B"/>
    <w:rsid w:val="00A42663"/>
    <w:rsid w:val="00A5554A"/>
    <w:rsid w:val="00A61BCF"/>
    <w:rsid w:val="00A64959"/>
    <w:rsid w:val="00A809E9"/>
    <w:rsid w:val="00A95B29"/>
    <w:rsid w:val="00A97640"/>
    <w:rsid w:val="00AA26E7"/>
    <w:rsid w:val="00AA4A84"/>
    <w:rsid w:val="00AB52B3"/>
    <w:rsid w:val="00AB6B76"/>
    <w:rsid w:val="00AD678F"/>
    <w:rsid w:val="00AE3312"/>
    <w:rsid w:val="00AE38AD"/>
    <w:rsid w:val="00AE7265"/>
    <w:rsid w:val="00AF0500"/>
    <w:rsid w:val="00B05927"/>
    <w:rsid w:val="00B369F0"/>
    <w:rsid w:val="00B374BE"/>
    <w:rsid w:val="00B42176"/>
    <w:rsid w:val="00B4490D"/>
    <w:rsid w:val="00B50414"/>
    <w:rsid w:val="00B55C3C"/>
    <w:rsid w:val="00B7075B"/>
    <w:rsid w:val="00B746C9"/>
    <w:rsid w:val="00B75E84"/>
    <w:rsid w:val="00B93BC8"/>
    <w:rsid w:val="00BA1038"/>
    <w:rsid w:val="00BA61CC"/>
    <w:rsid w:val="00BC5DC0"/>
    <w:rsid w:val="00BD0324"/>
    <w:rsid w:val="00BD2E41"/>
    <w:rsid w:val="00BE435C"/>
    <w:rsid w:val="00C02C57"/>
    <w:rsid w:val="00C03980"/>
    <w:rsid w:val="00C04ACC"/>
    <w:rsid w:val="00C04AD8"/>
    <w:rsid w:val="00C14EDC"/>
    <w:rsid w:val="00C22F9F"/>
    <w:rsid w:val="00C23A7F"/>
    <w:rsid w:val="00C45F30"/>
    <w:rsid w:val="00C64556"/>
    <w:rsid w:val="00C7001E"/>
    <w:rsid w:val="00C75D9C"/>
    <w:rsid w:val="00C80B6D"/>
    <w:rsid w:val="00C84A27"/>
    <w:rsid w:val="00C95F17"/>
    <w:rsid w:val="00CA0B19"/>
    <w:rsid w:val="00CB3F92"/>
    <w:rsid w:val="00CB7939"/>
    <w:rsid w:val="00CC416A"/>
    <w:rsid w:val="00CE0AD3"/>
    <w:rsid w:val="00CE0F2C"/>
    <w:rsid w:val="00D04C07"/>
    <w:rsid w:val="00D05958"/>
    <w:rsid w:val="00D371B2"/>
    <w:rsid w:val="00D37E50"/>
    <w:rsid w:val="00D44B3E"/>
    <w:rsid w:val="00D53D32"/>
    <w:rsid w:val="00D55E1D"/>
    <w:rsid w:val="00D63C81"/>
    <w:rsid w:val="00D64879"/>
    <w:rsid w:val="00D73FF5"/>
    <w:rsid w:val="00D76F87"/>
    <w:rsid w:val="00D87B7B"/>
    <w:rsid w:val="00D9698D"/>
    <w:rsid w:val="00DC2F41"/>
    <w:rsid w:val="00DC31AB"/>
    <w:rsid w:val="00DC378D"/>
    <w:rsid w:val="00DE052D"/>
    <w:rsid w:val="00E1700C"/>
    <w:rsid w:val="00E22884"/>
    <w:rsid w:val="00E57015"/>
    <w:rsid w:val="00E66F2F"/>
    <w:rsid w:val="00E67962"/>
    <w:rsid w:val="00E73634"/>
    <w:rsid w:val="00E774B5"/>
    <w:rsid w:val="00E809A5"/>
    <w:rsid w:val="00E81A61"/>
    <w:rsid w:val="00EB2663"/>
    <w:rsid w:val="00EB2923"/>
    <w:rsid w:val="00EB2F2C"/>
    <w:rsid w:val="00EC775F"/>
    <w:rsid w:val="00F00627"/>
    <w:rsid w:val="00F00CF3"/>
    <w:rsid w:val="00F03D41"/>
    <w:rsid w:val="00F2360A"/>
    <w:rsid w:val="00F34E79"/>
    <w:rsid w:val="00F560E1"/>
    <w:rsid w:val="00F67357"/>
    <w:rsid w:val="00F852FB"/>
    <w:rsid w:val="00FB6FAC"/>
    <w:rsid w:val="00FD1263"/>
    <w:rsid w:val="00FE6C2F"/>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1D2C4"/>
  <w15:chartTrackingRefBased/>
  <w15:docId w15:val="{E720943B-3FAC-4794-9AC2-FB46DB4A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ind w:left="2160" w:hanging="2160"/>
      <w:outlineLvl w:val="1"/>
    </w:pPr>
    <w:rPr>
      <w:rFonts w:ascii="Book Antiqua" w:hAnsi="Book Antiqua"/>
      <w:b/>
      <w:bCs/>
    </w:rPr>
  </w:style>
  <w:style w:type="paragraph" w:styleId="Heading5">
    <w:name w:val="heading 5"/>
    <w:basedOn w:val="Normal"/>
    <w:next w:val="Normal"/>
    <w:link w:val="Heading5Char"/>
    <w:unhideWhenUsed/>
    <w:qFormat/>
    <w:rsid w:val="007F4E6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color w:val="auto"/>
      <w:sz w:val="20"/>
    </w:rPr>
  </w:style>
  <w:style w:type="paragraph" w:styleId="BodyTextIndent3">
    <w:name w:val="Body Text Indent 3"/>
    <w:basedOn w:val="Normal"/>
    <w:pPr>
      <w:ind w:left="720"/>
      <w:jc w:val="both"/>
    </w:pPr>
    <w:rPr>
      <w:b/>
      <w:i/>
      <w:color w:val="auto"/>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880"/>
    </w:pPr>
    <w:rPr>
      <w:rFonts w:ascii="Book Antiqua" w:hAnsi="Book Antiqua"/>
      <w:b/>
      <w:bCs/>
    </w:rPr>
  </w:style>
  <w:style w:type="paragraph" w:styleId="BalloonText">
    <w:name w:val="Balloon Text"/>
    <w:basedOn w:val="Normal"/>
    <w:link w:val="BalloonTextChar"/>
    <w:uiPriority w:val="99"/>
    <w:semiHidden/>
    <w:rsid w:val="007217DB"/>
    <w:rPr>
      <w:rFonts w:ascii="Tahoma" w:hAnsi="Tahoma" w:cs="Tahoma"/>
      <w:sz w:val="16"/>
      <w:szCs w:val="16"/>
    </w:rPr>
  </w:style>
  <w:style w:type="character" w:customStyle="1" w:styleId="HeaderChar">
    <w:name w:val="Header Char"/>
    <w:link w:val="Header"/>
    <w:uiPriority w:val="99"/>
    <w:rsid w:val="00967667"/>
    <w:rPr>
      <w:color w:val="000000"/>
      <w:sz w:val="24"/>
    </w:rPr>
  </w:style>
  <w:style w:type="paragraph" w:styleId="PlainText">
    <w:name w:val="Plain Text"/>
    <w:basedOn w:val="Normal"/>
    <w:link w:val="PlainTextChar"/>
    <w:uiPriority w:val="99"/>
    <w:rsid w:val="006D5A6E"/>
    <w:rPr>
      <w:rFonts w:ascii="Courier New" w:hAnsi="Courier New" w:cs="Courier New"/>
      <w:color w:val="auto"/>
      <w:sz w:val="20"/>
    </w:rPr>
  </w:style>
  <w:style w:type="character" w:customStyle="1" w:styleId="PlainTextChar">
    <w:name w:val="Plain Text Char"/>
    <w:link w:val="PlainText"/>
    <w:uiPriority w:val="99"/>
    <w:rsid w:val="006D5A6E"/>
    <w:rPr>
      <w:rFonts w:ascii="Courier New" w:hAnsi="Courier New" w:cs="Courier New"/>
    </w:rPr>
  </w:style>
  <w:style w:type="paragraph" w:styleId="ListParagraph">
    <w:name w:val="List Paragraph"/>
    <w:basedOn w:val="Normal"/>
    <w:uiPriority w:val="34"/>
    <w:qFormat/>
    <w:rsid w:val="006D5A6E"/>
    <w:pPr>
      <w:spacing w:after="160" w:line="259" w:lineRule="auto"/>
      <w:ind w:left="720"/>
      <w:contextualSpacing/>
    </w:pPr>
    <w:rPr>
      <w:rFonts w:ascii="Calibri" w:eastAsia="Calibri" w:hAnsi="Calibri"/>
      <w:color w:val="auto"/>
      <w:sz w:val="22"/>
      <w:szCs w:val="22"/>
    </w:rPr>
  </w:style>
  <w:style w:type="character" w:customStyle="1" w:styleId="Heading5Char">
    <w:name w:val="Heading 5 Char"/>
    <w:basedOn w:val="DefaultParagraphFont"/>
    <w:link w:val="Heading5"/>
    <w:rsid w:val="007F4E68"/>
    <w:rPr>
      <w:rFonts w:asciiTheme="majorHAnsi" w:eastAsiaTheme="majorEastAsia" w:hAnsiTheme="majorHAnsi" w:cstheme="majorBidi"/>
      <w:color w:val="2F5496" w:themeColor="accent1" w:themeShade="BF"/>
      <w:sz w:val="24"/>
    </w:rPr>
  </w:style>
  <w:style w:type="table" w:styleId="TableGrid">
    <w:name w:val="Table Grid"/>
    <w:basedOn w:val="TableNormal"/>
    <w:uiPriority w:val="59"/>
    <w:rsid w:val="007F4E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E68"/>
    <w:rPr>
      <w:rFonts w:eastAsiaTheme="minorHAnsi"/>
      <w:color w:val="auto"/>
      <w:szCs w:val="24"/>
    </w:rPr>
  </w:style>
  <w:style w:type="character" w:customStyle="1" w:styleId="FooterChar">
    <w:name w:val="Footer Char"/>
    <w:basedOn w:val="DefaultParagraphFont"/>
    <w:link w:val="Footer"/>
    <w:uiPriority w:val="99"/>
    <w:rsid w:val="007F4E68"/>
    <w:rPr>
      <w:color w:val="000000"/>
      <w:sz w:val="24"/>
    </w:rPr>
  </w:style>
  <w:style w:type="character" w:customStyle="1" w:styleId="BalloonTextChar">
    <w:name w:val="Balloon Text Char"/>
    <w:basedOn w:val="DefaultParagraphFont"/>
    <w:link w:val="BalloonText"/>
    <w:uiPriority w:val="99"/>
    <w:semiHidden/>
    <w:rsid w:val="007F4E68"/>
    <w:rPr>
      <w:rFonts w:ascii="Tahoma" w:hAnsi="Tahoma" w:cs="Tahoma"/>
      <w:color w:val="000000"/>
      <w:sz w:val="16"/>
      <w:szCs w:val="16"/>
    </w:rPr>
  </w:style>
  <w:style w:type="paragraph" w:customStyle="1" w:styleId="Default">
    <w:name w:val="Default"/>
    <w:rsid w:val="007F4E68"/>
    <w:pPr>
      <w:autoSpaceDE w:val="0"/>
      <w:autoSpaceDN w:val="0"/>
      <w:adjustRightInd w:val="0"/>
    </w:pPr>
    <w:rPr>
      <w:rFonts w:ascii="Calibri" w:eastAsiaTheme="minorHAnsi" w:hAnsi="Calibri" w:cs="Calibri"/>
      <w:color w:val="000000"/>
      <w:sz w:val="24"/>
      <w:szCs w:val="24"/>
    </w:rPr>
  </w:style>
  <w:style w:type="paragraph" w:customStyle="1" w:styleId="m-6535451524279222601m-3061282727539662064msolistparagraph">
    <w:name w:val="m_-6535451524279222601m_-3061282727539662064msolistparagraph"/>
    <w:basedOn w:val="Normal"/>
    <w:rsid w:val="007F4E68"/>
    <w:pPr>
      <w:spacing w:before="100" w:beforeAutospacing="1" w:after="100" w:afterAutospacing="1"/>
    </w:pPr>
    <w:rPr>
      <w:rFonts w:eastAsiaTheme="minorHAnsi"/>
      <w:color w:val="auto"/>
      <w:szCs w:val="24"/>
    </w:rPr>
  </w:style>
  <w:style w:type="paragraph" w:customStyle="1" w:styleId="m7476510186290352600m-4606759439548237925msolistparagraph">
    <w:name w:val="m_7476510186290352600m_-4606759439548237925msolistparagraph"/>
    <w:basedOn w:val="Normal"/>
    <w:rsid w:val="007F4E68"/>
    <w:pPr>
      <w:spacing w:before="100" w:beforeAutospacing="1" w:after="100" w:afterAutospacing="1"/>
    </w:pPr>
    <w:rPr>
      <w:rFonts w:eastAsiaTheme="minorHAnsi"/>
      <w:color w:val="auto"/>
      <w:szCs w:val="24"/>
    </w:rPr>
  </w:style>
  <w:style w:type="paragraph" w:customStyle="1" w:styleId="m7476510186290352600m-4606759439548237925m-6535451524279222601m-3061282727539662064msolistparagraph">
    <w:name w:val="m_7476510186290352600m_-4606759439548237925m-6535451524279222601m-3061282727539662064msolistparagraph"/>
    <w:basedOn w:val="Normal"/>
    <w:rsid w:val="007F4E68"/>
    <w:pPr>
      <w:spacing w:before="100" w:beforeAutospacing="1" w:after="100" w:afterAutospacing="1"/>
    </w:pPr>
    <w:rPr>
      <w:rFonts w:eastAsiaTheme="minorHAnsi"/>
      <w:color w:val="auto"/>
      <w:szCs w:val="24"/>
    </w:rPr>
  </w:style>
  <w:style w:type="character" w:styleId="Hyperlink">
    <w:name w:val="Hyperlink"/>
    <w:basedOn w:val="DefaultParagraphFont"/>
    <w:uiPriority w:val="99"/>
    <w:unhideWhenUsed/>
    <w:rsid w:val="007F4E68"/>
    <w:rPr>
      <w:color w:val="0000FF"/>
      <w:u w:val="single"/>
    </w:rPr>
  </w:style>
  <w:style w:type="paragraph" w:customStyle="1" w:styleId="Sectionindent2">
    <w:name w:val="Section indent 2"/>
    <w:basedOn w:val="Normal"/>
    <w:rsid w:val="007F4E68"/>
    <w:pPr>
      <w:spacing w:before="120" w:after="60"/>
      <w:ind w:left="634" w:hanging="634"/>
      <w:jc w:val="both"/>
    </w:pPr>
    <w:rPr>
      <w:rFonts w:eastAsiaTheme="minorHAnsi"/>
      <w:color w:val="auto"/>
      <w:spacing w:val="-3"/>
      <w:szCs w:val="24"/>
    </w:rPr>
  </w:style>
  <w:style w:type="paragraph" w:styleId="EndnoteText">
    <w:name w:val="endnote text"/>
    <w:basedOn w:val="Normal"/>
    <w:link w:val="EndnoteTextChar"/>
    <w:rsid w:val="007F4E68"/>
    <w:rPr>
      <w:rFonts w:ascii="Calibri" w:eastAsiaTheme="minorHAnsi" w:hAnsi="Calibri"/>
      <w:color w:val="auto"/>
      <w:sz w:val="20"/>
    </w:rPr>
  </w:style>
  <w:style w:type="character" w:customStyle="1" w:styleId="EndnoteTextChar">
    <w:name w:val="Endnote Text Char"/>
    <w:basedOn w:val="DefaultParagraphFont"/>
    <w:link w:val="EndnoteText"/>
    <w:rsid w:val="007F4E68"/>
    <w:rPr>
      <w:rFonts w:ascii="Calibri" w:eastAsiaTheme="minorHAnsi" w:hAnsi="Calibri"/>
    </w:rPr>
  </w:style>
  <w:style w:type="character" w:styleId="EndnoteReference">
    <w:name w:val="endnote reference"/>
    <w:basedOn w:val="DefaultParagraphFont"/>
    <w:rsid w:val="007F4E68"/>
    <w:rPr>
      <w:vertAlign w:val="superscript"/>
    </w:rPr>
  </w:style>
  <w:style w:type="paragraph" w:styleId="FootnoteText">
    <w:name w:val="footnote text"/>
    <w:basedOn w:val="Normal"/>
    <w:link w:val="FootnoteTextChar"/>
    <w:rsid w:val="007F4E68"/>
    <w:rPr>
      <w:rFonts w:ascii="Calibri" w:eastAsiaTheme="minorHAnsi" w:hAnsi="Calibri"/>
      <w:color w:val="auto"/>
      <w:sz w:val="20"/>
    </w:rPr>
  </w:style>
  <w:style w:type="character" w:customStyle="1" w:styleId="FootnoteTextChar">
    <w:name w:val="Footnote Text Char"/>
    <w:basedOn w:val="DefaultParagraphFont"/>
    <w:link w:val="FootnoteText"/>
    <w:rsid w:val="007F4E68"/>
    <w:rPr>
      <w:rFonts w:ascii="Calibri" w:eastAsiaTheme="minorHAnsi" w:hAnsi="Calibri"/>
    </w:rPr>
  </w:style>
  <w:style w:type="character" w:styleId="FootnoteReference">
    <w:name w:val="footnote reference"/>
    <w:basedOn w:val="DefaultParagraphFont"/>
    <w:rsid w:val="007F4E68"/>
    <w:rPr>
      <w:vertAlign w:val="superscript"/>
    </w:rPr>
  </w:style>
  <w:style w:type="character" w:styleId="Strong">
    <w:name w:val="Strong"/>
    <w:basedOn w:val="DefaultParagraphFont"/>
    <w:uiPriority w:val="22"/>
    <w:qFormat/>
    <w:rsid w:val="007F4E68"/>
    <w:rPr>
      <w:b/>
      <w:bCs/>
    </w:rPr>
  </w:style>
  <w:style w:type="character" w:styleId="CommentReference">
    <w:name w:val="annotation reference"/>
    <w:basedOn w:val="DefaultParagraphFont"/>
    <w:unhideWhenUsed/>
    <w:rsid w:val="007F4E68"/>
    <w:rPr>
      <w:sz w:val="16"/>
      <w:szCs w:val="16"/>
    </w:rPr>
  </w:style>
  <w:style w:type="paragraph" w:styleId="CommentText">
    <w:name w:val="annotation text"/>
    <w:basedOn w:val="Normal"/>
    <w:link w:val="CommentTextChar"/>
    <w:unhideWhenUsed/>
    <w:rsid w:val="007F4E68"/>
    <w:rPr>
      <w:rFonts w:ascii="Calibri" w:eastAsiaTheme="minorHAnsi" w:hAnsi="Calibri"/>
      <w:color w:val="auto"/>
      <w:sz w:val="20"/>
    </w:rPr>
  </w:style>
  <w:style w:type="character" w:customStyle="1" w:styleId="CommentTextChar">
    <w:name w:val="Comment Text Char"/>
    <w:basedOn w:val="DefaultParagraphFont"/>
    <w:link w:val="CommentText"/>
    <w:rsid w:val="007F4E68"/>
    <w:rPr>
      <w:rFonts w:ascii="Calibri" w:eastAsiaTheme="minorHAnsi" w:hAnsi="Calibri"/>
    </w:rPr>
  </w:style>
  <w:style w:type="paragraph" w:styleId="CommentSubject">
    <w:name w:val="annotation subject"/>
    <w:basedOn w:val="CommentText"/>
    <w:next w:val="CommentText"/>
    <w:link w:val="CommentSubjectChar"/>
    <w:unhideWhenUsed/>
    <w:rsid w:val="007F4E68"/>
    <w:rPr>
      <w:b/>
      <w:bCs/>
    </w:rPr>
  </w:style>
  <w:style w:type="character" w:customStyle="1" w:styleId="CommentSubjectChar">
    <w:name w:val="Comment Subject Char"/>
    <w:basedOn w:val="CommentTextChar"/>
    <w:link w:val="CommentSubject"/>
    <w:rsid w:val="007F4E68"/>
    <w:rPr>
      <w:rFonts w:ascii="Calibri" w:eastAsiaTheme="minorHAnsi" w:hAnsi="Calibri"/>
      <w:b/>
      <w:bCs/>
    </w:rPr>
  </w:style>
  <w:style w:type="paragraph" w:styleId="Revision">
    <w:name w:val="Revision"/>
    <w:hidden/>
    <w:semiHidden/>
    <w:rsid w:val="007F4E68"/>
    <w:rPr>
      <w:rFonts w:ascii="Calibri" w:eastAsiaTheme="minorHAnsi" w:hAnsi="Calibri"/>
      <w:sz w:val="22"/>
      <w:szCs w:val="22"/>
    </w:rPr>
  </w:style>
  <w:style w:type="character" w:customStyle="1" w:styleId="fontstyle01">
    <w:name w:val="fontstyle01"/>
    <w:basedOn w:val="DefaultParagraphFont"/>
    <w:rsid w:val="00CB3F92"/>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4B5C12"/>
    <w:rPr>
      <w:rFonts w:ascii="BookAntiqua-Bold" w:hAnsi="BookAntiqua-Bold" w:hint="default"/>
      <w:b/>
      <w:bCs/>
      <w:i w:val="0"/>
      <w:iCs w:val="0"/>
      <w:color w:val="000000"/>
      <w:sz w:val="24"/>
      <w:szCs w:val="24"/>
    </w:rPr>
  </w:style>
  <w:style w:type="character" w:customStyle="1" w:styleId="fontstyle31">
    <w:name w:val="fontstyle31"/>
    <w:basedOn w:val="DefaultParagraphFont"/>
    <w:rsid w:val="004B5C12"/>
    <w:rPr>
      <w:rFonts w:ascii="BookAntiqua" w:hAnsi="BookAntiqua" w:hint="default"/>
      <w:b w:val="0"/>
      <w:bCs w:val="0"/>
      <w:i w:val="0"/>
      <w:iCs w:val="0"/>
      <w:color w:val="000000"/>
      <w:sz w:val="24"/>
      <w:szCs w:val="24"/>
    </w:rPr>
  </w:style>
  <w:style w:type="paragraph" w:styleId="BodyText">
    <w:name w:val="Body Text"/>
    <w:basedOn w:val="Normal"/>
    <w:link w:val="BodyTextChar"/>
    <w:rsid w:val="001B7F57"/>
    <w:pPr>
      <w:spacing w:after="120"/>
    </w:pPr>
  </w:style>
  <w:style w:type="character" w:customStyle="1" w:styleId="BodyTextChar">
    <w:name w:val="Body Text Char"/>
    <w:basedOn w:val="DefaultParagraphFont"/>
    <w:link w:val="BodyText"/>
    <w:rsid w:val="001B7F57"/>
    <w:rPr>
      <w:color w:val="000000"/>
      <w:sz w:val="24"/>
    </w:rPr>
  </w:style>
  <w:style w:type="paragraph" w:customStyle="1" w:styleId="Level1">
    <w:name w:val="Level 1"/>
    <w:basedOn w:val="Normal"/>
    <w:rsid w:val="00BA1038"/>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058">
      <w:bodyDiv w:val="1"/>
      <w:marLeft w:val="0"/>
      <w:marRight w:val="0"/>
      <w:marTop w:val="0"/>
      <w:marBottom w:val="0"/>
      <w:divBdr>
        <w:top w:val="none" w:sz="0" w:space="0" w:color="auto"/>
        <w:left w:val="none" w:sz="0" w:space="0" w:color="auto"/>
        <w:bottom w:val="none" w:sz="0" w:space="0" w:color="auto"/>
        <w:right w:val="none" w:sz="0" w:space="0" w:color="auto"/>
      </w:divBdr>
    </w:div>
    <w:div w:id="729572796">
      <w:bodyDiv w:val="1"/>
      <w:marLeft w:val="375"/>
      <w:marRight w:val="0"/>
      <w:marTop w:val="450"/>
      <w:marBottom w:val="0"/>
      <w:divBdr>
        <w:top w:val="none" w:sz="0" w:space="0" w:color="auto"/>
        <w:left w:val="none" w:sz="0" w:space="0" w:color="auto"/>
        <w:bottom w:val="none" w:sz="0" w:space="0" w:color="auto"/>
        <w:right w:val="none" w:sz="0" w:space="0" w:color="auto"/>
      </w:divBdr>
      <w:divsChild>
        <w:div w:id="42823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9A62-7A98-48D0-9826-9B9E570B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3196</Words>
  <Characters>16278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Memorandum</vt:lpstr>
    </vt:vector>
  </TitlesOfParts>
  <Company>Dell Computer Corporation</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Ilene Healy</dc:creator>
  <cp:keywords/>
  <cp:lastModifiedBy>Andrea J. Novotney</cp:lastModifiedBy>
  <cp:revision>2</cp:revision>
  <cp:lastPrinted>2023-01-06T13:53:00Z</cp:lastPrinted>
  <dcterms:created xsi:type="dcterms:W3CDTF">2023-03-13T12:36:00Z</dcterms:created>
  <dcterms:modified xsi:type="dcterms:W3CDTF">2023-03-13T12:36:00Z</dcterms:modified>
</cp:coreProperties>
</file>