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E0C2" w14:textId="77777777" w:rsidR="001E3401" w:rsidRPr="00BD1C5D" w:rsidRDefault="001E3401" w:rsidP="001E3401">
      <w:pPr>
        <w:pStyle w:val="Articlenumber"/>
        <w:tabs>
          <w:tab w:val="num" w:pos="540"/>
        </w:tabs>
        <w:ind w:left="540" w:hanging="360"/>
        <w:rPr>
          <w:szCs w:val="24"/>
        </w:rPr>
      </w:pPr>
      <w:r w:rsidRPr="00BD1C5D">
        <w:rPr>
          <w:szCs w:val="24"/>
        </w:rPr>
        <w:t>ARTICLE XI</w:t>
      </w:r>
    </w:p>
    <w:p w14:paraId="259C36F7" w14:textId="77777777" w:rsidR="001E3401" w:rsidRPr="00BD1C5D" w:rsidRDefault="001E3401" w:rsidP="001E3401">
      <w:pPr>
        <w:pStyle w:val="Articletitle"/>
        <w:rPr>
          <w:szCs w:val="24"/>
        </w:rPr>
      </w:pPr>
      <w:r w:rsidRPr="00BD1C5D">
        <w:rPr>
          <w:szCs w:val="24"/>
        </w:rPr>
        <w:t>ESTABLISHMENT OF ZONES</w:t>
      </w:r>
    </w:p>
    <w:p w14:paraId="74F555F4" w14:textId="77777777" w:rsidR="001E3401" w:rsidRPr="00BD1C5D" w:rsidRDefault="001E3401" w:rsidP="001E3401">
      <w:pPr>
        <w:pStyle w:val="Sectionhead"/>
        <w:rPr>
          <w:szCs w:val="24"/>
        </w:rPr>
      </w:pPr>
      <w:r w:rsidRPr="00BD1C5D">
        <w:rPr>
          <w:szCs w:val="24"/>
        </w:rPr>
        <w:t xml:space="preserve">175-35. </w:t>
      </w:r>
      <w:r w:rsidRPr="00BD1C5D">
        <w:rPr>
          <w:szCs w:val="24"/>
        </w:rPr>
        <w:tab/>
        <w:t>Zoning Districts.</w:t>
      </w:r>
    </w:p>
    <w:p w14:paraId="02EF62A3" w14:textId="77777777" w:rsidR="001E3401" w:rsidRPr="00BD1C5D" w:rsidRDefault="001E3401" w:rsidP="001E3401">
      <w:pPr>
        <w:pStyle w:val="Sectionindent1"/>
        <w:tabs>
          <w:tab w:val="clear" w:pos="274"/>
        </w:tabs>
        <w:ind w:left="270"/>
      </w:pPr>
      <w:proofErr w:type="gramStart"/>
      <w:r w:rsidRPr="00BD1C5D">
        <w:t>For the purpose of</w:t>
      </w:r>
      <w:proofErr w:type="gramEnd"/>
      <w:r w:rsidRPr="00BD1C5D">
        <w:t xml:space="preserve"> this chapter, the Town of Durham is hereby divided into zoning districts as follows:</w:t>
      </w:r>
    </w:p>
    <w:p w14:paraId="34A7B765" w14:textId="77777777" w:rsidR="001E3401" w:rsidRPr="00BD1C5D" w:rsidRDefault="001E3401" w:rsidP="001E3401">
      <w:pPr>
        <w:pStyle w:val="Outlinenumber"/>
        <w:tabs>
          <w:tab w:val="clear" w:pos="936"/>
          <w:tab w:val="left" w:pos="1170"/>
        </w:tabs>
        <w:ind w:left="630" w:hanging="360"/>
      </w:pPr>
      <w:r w:rsidRPr="00BD1C5D">
        <w:t>A.</w:t>
      </w:r>
      <w:r w:rsidRPr="00BD1C5D">
        <w:tab/>
      </w:r>
      <w:r w:rsidRPr="00BD1C5D">
        <w:rPr>
          <w:b/>
          <w:bCs/>
          <w:i/>
          <w:iCs/>
        </w:rPr>
        <w:t>Residential Zoning Districts</w:t>
      </w:r>
      <w:r w:rsidRPr="00BD1C5D">
        <w:t>:</w:t>
      </w:r>
    </w:p>
    <w:p w14:paraId="21336FAB" w14:textId="77777777" w:rsidR="001E3401" w:rsidRPr="00BD1C5D" w:rsidRDefault="001E3401" w:rsidP="001E3401">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 xml:space="preserve">Residence A </w:t>
      </w:r>
      <w:r w:rsidRPr="00BD1C5D">
        <w:tab/>
      </w:r>
      <w:r w:rsidRPr="00BD1C5D">
        <w:tab/>
      </w:r>
      <w:r w:rsidRPr="00BD1C5D">
        <w:tab/>
      </w:r>
      <w:r w:rsidRPr="00BD1C5D">
        <w:tab/>
      </w:r>
      <w:r w:rsidRPr="00BD1C5D">
        <w:tab/>
        <w:t>RA</w:t>
      </w:r>
    </w:p>
    <w:p w14:paraId="4D4FB2A9" w14:textId="77777777" w:rsidR="001E3401" w:rsidRPr="00BD1C5D" w:rsidRDefault="001E3401" w:rsidP="001E3401">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Residence B</w:t>
      </w:r>
      <w:r w:rsidRPr="00BD1C5D">
        <w:tab/>
      </w:r>
      <w:r w:rsidRPr="00BD1C5D">
        <w:tab/>
      </w:r>
      <w:r w:rsidRPr="00BD1C5D">
        <w:tab/>
      </w:r>
      <w:r w:rsidRPr="00BD1C5D">
        <w:tab/>
      </w:r>
      <w:r w:rsidRPr="00BD1C5D">
        <w:tab/>
      </w:r>
      <w:r w:rsidRPr="00BD1C5D">
        <w:tab/>
        <w:t>RB</w:t>
      </w:r>
    </w:p>
    <w:p w14:paraId="0585D870"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Residence Coastal</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RC</w:t>
      </w:r>
    </w:p>
    <w:p w14:paraId="7ACCE865" w14:textId="77777777" w:rsidR="001E3401" w:rsidRPr="00BD1C5D" w:rsidRDefault="001E3401" w:rsidP="001E3401">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Rural</w:t>
      </w:r>
      <w:r w:rsidRPr="00BD1C5D">
        <w:tab/>
      </w:r>
      <w:r w:rsidRPr="00BD1C5D">
        <w:tab/>
      </w:r>
      <w:r w:rsidRPr="00BD1C5D">
        <w:tab/>
      </w:r>
      <w:r w:rsidRPr="00BD1C5D">
        <w:tab/>
      </w:r>
      <w:r w:rsidRPr="00BD1C5D">
        <w:tab/>
      </w:r>
      <w:r w:rsidRPr="00BD1C5D">
        <w:tab/>
      </w:r>
      <w:r w:rsidRPr="00BD1C5D">
        <w:tab/>
        <w:t>R</w:t>
      </w:r>
    </w:p>
    <w:p w14:paraId="21FC753C" w14:textId="77777777" w:rsidR="001E3401" w:rsidRPr="00BD1C5D" w:rsidRDefault="001E3401" w:rsidP="001E3401">
      <w:pPr>
        <w:pStyle w:val="Outlinenumber"/>
        <w:tabs>
          <w:tab w:val="clear" w:pos="936"/>
          <w:tab w:val="left" w:pos="1080"/>
          <w:tab w:val="left" w:pos="1620"/>
        </w:tabs>
        <w:ind w:left="634" w:hanging="360"/>
      </w:pPr>
      <w:r w:rsidRPr="00BD1C5D">
        <w:t>B.</w:t>
      </w:r>
      <w:r w:rsidRPr="00BD1C5D">
        <w:tab/>
      </w:r>
      <w:r w:rsidRPr="00BD1C5D">
        <w:rPr>
          <w:b/>
          <w:bCs/>
          <w:i/>
          <w:iCs/>
        </w:rPr>
        <w:t>Commercial Core Zoning Districts</w:t>
      </w:r>
      <w:r w:rsidRPr="00BD1C5D">
        <w:t>:</w:t>
      </w:r>
    </w:p>
    <w:p w14:paraId="6D2A5317" w14:textId="77777777" w:rsidR="001E3401" w:rsidRPr="00BD1C5D" w:rsidRDefault="001E3401" w:rsidP="001E3401">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Central Business</w:t>
      </w:r>
      <w:r w:rsidRPr="00BD1C5D">
        <w:tab/>
      </w:r>
      <w:r w:rsidRPr="00BD1C5D">
        <w:tab/>
      </w:r>
      <w:r w:rsidRPr="00BD1C5D">
        <w:tab/>
      </w:r>
      <w:r w:rsidRPr="00BD1C5D">
        <w:tab/>
      </w:r>
      <w:r w:rsidRPr="00BD1C5D">
        <w:tab/>
        <w:t>CB</w:t>
      </w:r>
    </w:p>
    <w:p w14:paraId="0BC28076" w14:textId="77777777" w:rsidR="001E3401" w:rsidRPr="00BD1C5D" w:rsidRDefault="001E3401" w:rsidP="001E3401">
      <w:pPr>
        <w:pStyle w:val="History"/>
        <w:tabs>
          <w:tab w:val="clear" w:pos="274"/>
          <w:tab w:val="clear" w:pos="634"/>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pacing w:after="0"/>
      </w:pPr>
      <w:r w:rsidRPr="00BD1C5D">
        <w:tab/>
        <w:t>Professional Office</w:t>
      </w:r>
      <w:r w:rsidRPr="00BD1C5D">
        <w:tab/>
      </w:r>
      <w:r w:rsidRPr="00BD1C5D">
        <w:tab/>
      </w:r>
      <w:r w:rsidRPr="00BD1C5D">
        <w:tab/>
      </w:r>
      <w:r w:rsidRPr="00BD1C5D">
        <w:tab/>
        <w:t>PO</w:t>
      </w:r>
    </w:p>
    <w:p w14:paraId="3FC6DFF2"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Church Hill</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CH</w:t>
      </w:r>
    </w:p>
    <w:p w14:paraId="4B8A1FC7"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Courthouse</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w:t>
      </w:r>
    </w:p>
    <w:p w14:paraId="0CF1FF78"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Coe’s Corner</w:t>
      </w:r>
      <w:r w:rsidRPr="00BD1C5D">
        <w:rPr>
          <w:spacing w:val="-3"/>
          <w:sz w:val="24"/>
        </w:rPr>
        <w:tab/>
      </w:r>
      <w:r w:rsidRPr="00BD1C5D">
        <w:rPr>
          <w:spacing w:val="-3"/>
          <w:sz w:val="24"/>
        </w:rPr>
        <w:tab/>
      </w:r>
      <w:r w:rsidRPr="00BD1C5D">
        <w:rPr>
          <w:spacing w:val="-3"/>
          <w:sz w:val="24"/>
        </w:rPr>
        <w:tab/>
      </w:r>
      <w:r w:rsidRPr="00BD1C5D">
        <w:rPr>
          <w:spacing w:val="-3"/>
          <w:sz w:val="24"/>
        </w:rPr>
        <w:tab/>
      </w:r>
      <w:r w:rsidRPr="00BD1C5D">
        <w:rPr>
          <w:spacing w:val="-3"/>
          <w:sz w:val="24"/>
        </w:rPr>
        <w:tab/>
        <w:t>CC</w:t>
      </w:r>
    </w:p>
    <w:p w14:paraId="3AE260D5" w14:textId="77777777" w:rsidR="001E3401" w:rsidRPr="00BD1C5D" w:rsidRDefault="001E3401" w:rsidP="001E3401">
      <w:pPr>
        <w:tabs>
          <w:tab w:val="left" w:pos="-1440"/>
          <w:tab w:val="left" w:pos="-720"/>
          <w:tab w:val="left" w:pos="270"/>
          <w:tab w:val="left" w:pos="63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after="60"/>
        <w:jc w:val="both"/>
        <w:rPr>
          <w:b/>
          <w:i/>
          <w:spacing w:val="-3"/>
          <w:sz w:val="24"/>
        </w:rPr>
      </w:pPr>
      <w:r w:rsidRPr="00BD1C5D">
        <w:rPr>
          <w:spacing w:val="-3"/>
          <w:sz w:val="24"/>
        </w:rPr>
        <w:tab/>
        <w:t>C.</w:t>
      </w:r>
      <w:r w:rsidRPr="00BD1C5D">
        <w:rPr>
          <w:spacing w:val="-3"/>
          <w:sz w:val="24"/>
        </w:rPr>
        <w:tab/>
      </w:r>
      <w:r w:rsidRPr="00BD1C5D">
        <w:rPr>
          <w:b/>
          <w:i/>
          <w:spacing w:val="-3"/>
          <w:sz w:val="24"/>
        </w:rPr>
        <w:t>Research – Industry Zoning Districts</w:t>
      </w:r>
    </w:p>
    <w:p w14:paraId="19A994BD"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Office and Research – Route 108</w:t>
      </w:r>
      <w:r w:rsidRPr="00BD1C5D">
        <w:rPr>
          <w:spacing w:val="-3"/>
          <w:sz w:val="24"/>
        </w:rPr>
        <w:tab/>
      </w:r>
      <w:r w:rsidRPr="00BD1C5D">
        <w:rPr>
          <w:spacing w:val="-3"/>
          <w:sz w:val="24"/>
        </w:rPr>
        <w:tab/>
        <w:t>OR</w:t>
      </w:r>
    </w:p>
    <w:p w14:paraId="19BBC378"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Mixed Use and Office Research</w:t>
      </w:r>
      <w:r w:rsidRPr="00BD1C5D">
        <w:rPr>
          <w:spacing w:val="-3"/>
          <w:sz w:val="24"/>
        </w:rPr>
        <w:tab/>
      </w:r>
      <w:r w:rsidRPr="00BD1C5D">
        <w:rPr>
          <w:spacing w:val="-3"/>
          <w:sz w:val="24"/>
        </w:rPr>
        <w:tab/>
        <w:t>MUDOR</w:t>
      </w:r>
    </w:p>
    <w:p w14:paraId="53469DE5"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r w:rsidRPr="00BD1C5D">
        <w:rPr>
          <w:spacing w:val="-3"/>
          <w:sz w:val="24"/>
        </w:rPr>
        <w:tab/>
        <w:t>Office, Research and Light Industry</w:t>
      </w:r>
      <w:r w:rsidRPr="00BD1C5D">
        <w:rPr>
          <w:spacing w:val="-3"/>
          <w:sz w:val="24"/>
        </w:rPr>
        <w:tab/>
      </w:r>
      <w:r w:rsidRPr="00BD1C5D">
        <w:rPr>
          <w:spacing w:val="-3"/>
          <w:sz w:val="24"/>
        </w:rPr>
        <w:tab/>
        <w:t>ORLI</w:t>
      </w:r>
    </w:p>
    <w:p w14:paraId="57244916" w14:textId="77777777" w:rsidR="001E3401" w:rsidRPr="00BD1C5D" w:rsidRDefault="001E3401" w:rsidP="001E3401">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color w:val="000000"/>
          <w:spacing w:val="-3"/>
          <w:sz w:val="24"/>
        </w:rPr>
      </w:pPr>
      <w:r w:rsidRPr="00BD1C5D">
        <w:rPr>
          <w:sz w:val="24"/>
        </w:rPr>
        <w:tab/>
        <w:t>Durham Business Park</w:t>
      </w:r>
      <w:r w:rsidRPr="00BD1C5D">
        <w:rPr>
          <w:sz w:val="24"/>
        </w:rPr>
        <w:tab/>
      </w:r>
      <w:r w:rsidRPr="00BD1C5D">
        <w:rPr>
          <w:sz w:val="24"/>
        </w:rPr>
        <w:tab/>
      </w:r>
      <w:r w:rsidRPr="00BD1C5D">
        <w:rPr>
          <w:sz w:val="24"/>
        </w:rPr>
        <w:tab/>
      </w:r>
      <w:r w:rsidRPr="00BD1C5D">
        <w:rPr>
          <w:sz w:val="24"/>
        </w:rPr>
        <w:tab/>
        <w:t>DBP</w:t>
      </w:r>
    </w:p>
    <w:p w14:paraId="2614A43D" w14:textId="77777777" w:rsidR="001E3401" w:rsidRPr="00BD1C5D" w:rsidRDefault="001E3401" w:rsidP="001E3401">
      <w:pPr>
        <w:pStyle w:val="Sectionhead"/>
        <w:rPr>
          <w:color w:val="000000"/>
          <w:szCs w:val="24"/>
        </w:rPr>
      </w:pPr>
      <w:r w:rsidRPr="00BD1C5D">
        <w:rPr>
          <w:color w:val="000000"/>
          <w:szCs w:val="24"/>
        </w:rPr>
        <w:t>175-36.</w:t>
      </w:r>
      <w:r w:rsidRPr="00BD1C5D">
        <w:rPr>
          <w:color w:val="000000"/>
          <w:szCs w:val="24"/>
        </w:rPr>
        <w:tab/>
        <w:t>Overlay Districts.</w:t>
      </w:r>
    </w:p>
    <w:p w14:paraId="00ED8A70" w14:textId="77777777" w:rsidR="001E3401" w:rsidRPr="00BD1C5D" w:rsidRDefault="001E3401" w:rsidP="001E3401">
      <w:pPr>
        <w:ind w:left="270"/>
        <w:jc w:val="both"/>
        <w:rPr>
          <w:sz w:val="24"/>
        </w:rPr>
      </w:pPr>
      <w:r w:rsidRPr="00BD1C5D">
        <w:rPr>
          <w:sz w:val="24"/>
        </w:rPr>
        <w:t xml:space="preserve">In addition to the zoning districts (or “base zoning districts”) identified in Section 175-35, there are </w:t>
      </w:r>
      <w:r>
        <w:rPr>
          <w:sz w:val="24"/>
        </w:rPr>
        <w:t>7</w:t>
      </w:r>
      <w:r w:rsidRPr="00BD1C5D">
        <w:rPr>
          <w:sz w:val="24"/>
        </w:rPr>
        <w:t xml:space="preserve"> overlay districts as follows:</w:t>
      </w:r>
    </w:p>
    <w:p w14:paraId="33E488BC" w14:textId="77777777" w:rsidR="001E3401" w:rsidRPr="00BD1C5D" w:rsidRDefault="001E3401" w:rsidP="001E3401">
      <w:pPr>
        <w:jc w:val="both"/>
        <w:rPr>
          <w:sz w:val="24"/>
        </w:rPr>
      </w:pPr>
    </w:p>
    <w:p w14:paraId="615E67EB" w14:textId="77777777" w:rsidR="001E3401" w:rsidRPr="00BD1C5D" w:rsidRDefault="001E3401" w:rsidP="001E3401">
      <w:pPr>
        <w:ind w:firstLine="720"/>
        <w:jc w:val="both"/>
        <w:rPr>
          <w:sz w:val="24"/>
        </w:rPr>
      </w:pPr>
      <w:r w:rsidRPr="00BD1C5D">
        <w:rPr>
          <w:bCs/>
          <w:sz w:val="24"/>
        </w:rPr>
        <w:t>WCOD</w:t>
      </w:r>
      <w:r w:rsidRPr="00BD1C5D">
        <w:rPr>
          <w:bCs/>
          <w:sz w:val="24"/>
        </w:rPr>
        <w:tab/>
        <w:t xml:space="preserve">Wetland Conservation Overlay District   </w:t>
      </w:r>
    </w:p>
    <w:p w14:paraId="7DC57C9E" w14:textId="77777777" w:rsidR="001E3401" w:rsidRPr="00BD1C5D" w:rsidRDefault="001E3401" w:rsidP="001E3401">
      <w:pPr>
        <w:jc w:val="both"/>
        <w:rPr>
          <w:bCs/>
          <w:sz w:val="24"/>
        </w:rPr>
      </w:pPr>
      <w:r w:rsidRPr="00BD1C5D">
        <w:rPr>
          <w:sz w:val="24"/>
        </w:rPr>
        <w:tab/>
      </w:r>
      <w:r w:rsidRPr="00BD1C5D">
        <w:rPr>
          <w:bCs/>
          <w:sz w:val="24"/>
        </w:rPr>
        <w:t>SPOD</w:t>
      </w:r>
      <w:r w:rsidRPr="00BD1C5D">
        <w:rPr>
          <w:bCs/>
          <w:sz w:val="24"/>
        </w:rPr>
        <w:tab/>
      </w:r>
      <w:r w:rsidRPr="00BD1C5D">
        <w:rPr>
          <w:bCs/>
          <w:sz w:val="24"/>
        </w:rPr>
        <w:tab/>
        <w:t xml:space="preserve">Shoreland Protection Overlay District </w:t>
      </w:r>
    </w:p>
    <w:p w14:paraId="1C4AC49E" w14:textId="77777777" w:rsidR="001E3401" w:rsidRPr="00BD1C5D" w:rsidRDefault="001E3401" w:rsidP="001E3401">
      <w:pPr>
        <w:jc w:val="both"/>
        <w:rPr>
          <w:bCs/>
          <w:sz w:val="24"/>
        </w:rPr>
      </w:pPr>
      <w:r w:rsidRPr="00BD1C5D">
        <w:rPr>
          <w:bCs/>
          <w:sz w:val="24"/>
        </w:rPr>
        <w:tab/>
        <w:t>FHOD</w:t>
      </w:r>
      <w:r w:rsidRPr="00BD1C5D">
        <w:rPr>
          <w:bCs/>
          <w:sz w:val="24"/>
        </w:rPr>
        <w:tab/>
      </w:r>
      <w:r w:rsidRPr="00BD1C5D">
        <w:rPr>
          <w:bCs/>
          <w:sz w:val="24"/>
        </w:rPr>
        <w:tab/>
        <w:t>Flood Hazard Overlay District</w:t>
      </w:r>
    </w:p>
    <w:p w14:paraId="7B65A7C1" w14:textId="77777777" w:rsidR="001E3401" w:rsidRPr="00BD1C5D" w:rsidRDefault="001E3401" w:rsidP="001E3401">
      <w:pPr>
        <w:jc w:val="both"/>
        <w:rPr>
          <w:bCs/>
          <w:sz w:val="24"/>
        </w:rPr>
      </w:pPr>
      <w:r w:rsidRPr="00BD1C5D">
        <w:rPr>
          <w:bCs/>
          <w:sz w:val="24"/>
        </w:rPr>
        <w:tab/>
        <w:t>APOD</w:t>
      </w:r>
      <w:r w:rsidRPr="00BD1C5D">
        <w:rPr>
          <w:bCs/>
          <w:sz w:val="24"/>
        </w:rPr>
        <w:tab/>
      </w:r>
      <w:r w:rsidRPr="00BD1C5D">
        <w:rPr>
          <w:bCs/>
          <w:sz w:val="24"/>
        </w:rPr>
        <w:tab/>
        <w:t>Aquifer Protection Overlay District</w:t>
      </w:r>
    </w:p>
    <w:p w14:paraId="05E18676" w14:textId="77777777" w:rsidR="001E3401" w:rsidRPr="00BD1C5D" w:rsidRDefault="001E3401" w:rsidP="001E3401">
      <w:pPr>
        <w:jc w:val="both"/>
        <w:rPr>
          <w:bCs/>
          <w:sz w:val="24"/>
        </w:rPr>
      </w:pPr>
      <w:r w:rsidRPr="00BD1C5D">
        <w:rPr>
          <w:bCs/>
          <w:sz w:val="24"/>
        </w:rPr>
        <w:tab/>
        <w:t>HOD</w:t>
      </w:r>
      <w:r w:rsidRPr="00BD1C5D">
        <w:rPr>
          <w:bCs/>
          <w:sz w:val="24"/>
        </w:rPr>
        <w:tab/>
      </w:r>
      <w:r w:rsidRPr="00BD1C5D">
        <w:rPr>
          <w:bCs/>
          <w:sz w:val="24"/>
        </w:rPr>
        <w:tab/>
        <w:t xml:space="preserve">Historic Overlay District </w:t>
      </w:r>
    </w:p>
    <w:p w14:paraId="37F00D59" w14:textId="77777777" w:rsidR="001E3401" w:rsidRDefault="001E3401" w:rsidP="001E3401">
      <w:pPr>
        <w:jc w:val="both"/>
        <w:rPr>
          <w:bCs/>
          <w:sz w:val="24"/>
        </w:rPr>
      </w:pPr>
      <w:r w:rsidRPr="00BD1C5D">
        <w:rPr>
          <w:bCs/>
          <w:sz w:val="24"/>
        </w:rPr>
        <w:tab/>
        <w:t>PWSFOD</w:t>
      </w:r>
      <w:r w:rsidRPr="00BD1C5D">
        <w:rPr>
          <w:bCs/>
          <w:sz w:val="24"/>
        </w:rPr>
        <w:tab/>
        <w:t>Personal Wireless Service Facilities Overlay District</w:t>
      </w:r>
    </w:p>
    <w:p w14:paraId="0F3CD6D1" w14:textId="77777777" w:rsidR="001E3401" w:rsidRPr="00BD1C5D" w:rsidRDefault="001E3401" w:rsidP="001E3401">
      <w:pPr>
        <w:jc w:val="both"/>
        <w:rPr>
          <w:sz w:val="24"/>
        </w:rPr>
      </w:pPr>
      <w:r>
        <w:rPr>
          <w:bCs/>
          <w:sz w:val="24"/>
        </w:rPr>
        <w:tab/>
        <w:t>AHOD</w:t>
      </w:r>
      <w:r>
        <w:rPr>
          <w:bCs/>
          <w:sz w:val="24"/>
        </w:rPr>
        <w:tab/>
      </w:r>
      <w:r>
        <w:rPr>
          <w:bCs/>
          <w:sz w:val="24"/>
        </w:rPr>
        <w:tab/>
        <w:t>Attainable Housing Overlay District</w:t>
      </w:r>
    </w:p>
    <w:p w14:paraId="2C09CE58" w14:textId="77777777" w:rsidR="001E3401" w:rsidRPr="00BD1C5D" w:rsidRDefault="001E3401" w:rsidP="001E3401">
      <w:pPr>
        <w:jc w:val="both"/>
        <w:rPr>
          <w:sz w:val="24"/>
        </w:rPr>
      </w:pPr>
    </w:p>
    <w:p w14:paraId="0F3DC536" w14:textId="77777777" w:rsidR="001E3401" w:rsidRPr="00BD1C5D" w:rsidRDefault="001E3401" w:rsidP="001E3401">
      <w:pPr>
        <w:ind w:left="270"/>
        <w:jc w:val="both"/>
        <w:rPr>
          <w:sz w:val="24"/>
        </w:rPr>
      </w:pPr>
      <w:r w:rsidRPr="00BD1C5D">
        <w:rPr>
          <w:sz w:val="24"/>
        </w:rPr>
        <w:t>Each of these overlay districts establishes requirements in addition to the requirements of the underlying zoning district.  The requirements of both the underlying zoning district and the overlay district(s) shall apply and any conflict between such regulations shall be resolved by applying the most restrictive regulation.</w:t>
      </w:r>
    </w:p>
    <w:p w14:paraId="4FC367C8"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01"/>
    <w:rsid w:val="001E3401"/>
    <w:rsid w:val="00212105"/>
    <w:rsid w:val="00230070"/>
    <w:rsid w:val="002A6DA3"/>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1324"/>
  <w15:chartTrackingRefBased/>
  <w15:docId w15:val="{2BA69A1A-E091-4DA0-9C48-A3278BC0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0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E34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34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34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340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E340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E340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E340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E340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E340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401"/>
    <w:rPr>
      <w:rFonts w:eastAsiaTheme="majorEastAsia" w:cstheme="majorBidi"/>
      <w:color w:val="272727" w:themeColor="text1" w:themeTint="D8"/>
    </w:rPr>
  </w:style>
  <w:style w:type="paragraph" w:styleId="Title">
    <w:name w:val="Title"/>
    <w:basedOn w:val="Normal"/>
    <w:next w:val="Normal"/>
    <w:link w:val="TitleChar"/>
    <w:uiPriority w:val="10"/>
    <w:qFormat/>
    <w:rsid w:val="001E34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4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40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E3401"/>
    <w:rPr>
      <w:i/>
      <w:iCs/>
      <w:color w:val="404040" w:themeColor="text1" w:themeTint="BF"/>
    </w:rPr>
  </w:style>
  <w:style w:type="paragraph" w:styleId="ListParagraph">
    <w:name w:val="List Paragraph"/>
    <w:basedOn w:val="Normal"/>
    <w:uiPriority w:val="34"/>
    <w:qFormat/>
    <w:rsid w:val="001E340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E3401"/>
    <w:rPr>
      <w:i/>
      <w:iCs/>
      <w:color w:val="0F4761" w:themeColor="accent1" w:themeShade="BF"/>
    </w:rPr>
  </w:style>
  <w:style w:type="paragraph" w:styleId="IntenseQuote">
    <w:name w:val="Intense Quote"/>
    <w:basedOn w:val="Normal"/>
    <w:next w:val="Normal"/>
    <w:link w:val="IntenseQuoteChar"/>
    <w:uiPriority w:val="30"/>
    <w:qFormat/>
    <w:rsid w:val="001E34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E3401"/>
    <w:rPr>
      <w:i/>
      <w:iCs/>
      <w:color w:val="0F4761" w:themeColor="accent1" w:themeShade="BF"/>
    </w:rPr>
  </w:style>
  <w:style w:type="character" w:styleId="IntenseReference">
    <w:name w:val="Intense Reference"/>
    <w:basedOn w:val="DefaultParagraphFont"/>
    <w:uiPriority w:val="32"/>
    <w:qFormat/>
    <w:rsid w:val="001E3401"/>
    <w:rPr>
      <w:b/>
      <w:bCs/>
      <w:smallCaps/>
      <w:color w:val="0F4761" w:themeColor="accent1" w:themeShade="BF"/>
      <w:spacing w:val="5"/>
    </w:rPr>
  </w:style>
  <w:style w:type="paragraph" w:customStyle="1" w:styleId="History">
    <w:name w:val="History"/>
    <w:basedOn w:val="Normal"/>
    <w:rsid w:val="001E3401"/>
    <w:pPr>
      <w:tabs>
        <w:tab w:val="left" w:pos="-1440"/>
        <w:tab w:val="left" w:pos="-720"/>
        <w:tab w:val="left" w:pos="274"/>
        <w:tab w:val="left" w:pos="634"/>
      </w:tabs>
      <w:suppressAutoHyphens/>
      <w:spacing w:after="240"/>
      <w:jc w:val="both"/>
    </w:pPr>
    <w:rPr>
      <w:spacing w:val="-3"/>
      <w:sz w:val="24"/>
    </w:rPr>
  </w:style>
  <w:style w:type="paragraph" w:customStyle="1" w:styleId="Articlenumber">
    <w:name w:val="Article number"/>
    <w:basedOn w:val="Normal"/>
    <w:rsid w:val="001E3401"/>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1E3401"/>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1E3401"/>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1E3401"/>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1E3401"/>
    <w:pPr>
      <w:tabs>
        <w:tab w:val="left" w:pos="-1440"/>
        <w:tab w:val="left" w:pos="-720"/>
        <w:tab w:val="left" w:pos="274"/>
        <w:tab w:val="left" w:pos="634"/>
        <w:tab w:val="left" w:pos="936"/>
      </w:tabs>
      <w:suppressAutoHyphens/>
      <w:spacing w:before="120" w:after="60"/>
      <w:ind w:left="936" w:hanging="93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2025-10-27T19:20:00Z</dcterms:created>
  <dcterms:modified xsi:type="dcterms:W3CDTF">2025-10-27T19:21:00Z</dcterms:modified>
</cp:coreProperties>
</file>