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3231B" w14:textId="77777777" w:rsidR="0023059B" w:rsidRPr="00BD1C5D" w:rsidRDefault="0023059B" w:rsidP="0023059B">
      <w:pPr>
        <w:pStyle w:val="Articlenumber"/>
        <w:tabs>
          <w:tab w:val="left" w:pos="900"/>
        </w:tabs>
      </w:pPr>
      <w:bookmarkStart w:id="0" w:name="_Hlk183089317"/>
      <w:r w:rsidRPr="00BD1C5D">
        <w:t>ARTICLE VIII</w:t>
      </w:r>
    </w:p>
    <w:p w14:paraId="4B36B0BA" w14:textId="77777777" w:rsidR="0023059B" w:rsidRPr="00BD1C5D" w:rsidRDefault="0023059B" w:rsidP="0023059B">
      <w:pPr>
        <w:pStyle w:val="Footer"/>
        <w:tabs>
          <w:tab w:val="clear" w:pos="4320"/>
          <w:tab w:val="clear" w:pos="8640"/>
          <w:tab w:val="left" w:pos="900"/>
        </w:tabs>
        <w:jc w:val="center"/>
        <w:rPr>
          <w:b/>
          <w:bCs/>
          <w:sz w:val="24"/>
        </w:rPr>
      </w:pPr>
      <w:r w:rsidRPr="00BD1C5D">
        <w:rPr>
          <w:b/>
          <w:bCs/>
          <w:sz w:val="24"/>
        </w:rPr>
        <w:t>VARIANCES AND SPECIAL EXCEPTIONS</w:t>
      </w:r>
    </w:p>
    <w:p w14:paraId="0C26BB65" w14:textId="77777777" w:rsidR="0023059B" w:rsidRPr="00BD1C5D" w:rsidRDefault="0023059B" w:rsidP="0023059B">
      <w:pPr>
        <w:pStyle w:val="Footer"/>
        <w:tabs>
          <w:tab w:val="clear" w:pos="4320"/>
          <w:tab w:val="clear" w:pos="8640"/>
          <w:tab w:val="left" w:pos="900"/>
        </w:tabs>
        <w:spacing w:before="240" w:after="120"/>
        <w:rPr>
          <w:b/>
          <w:bCs/>
          <w:sz w:val="24"/>
        </w:rPr>
      </w:pPr>
      <w:r w:rsidRPr="00BD1C5D">
        <w:rPr>
          <w:b/>
          <w:bCs/>
          <w:sz w:val="24"/>
        </w:rPr>
        <w:t>175-25.</w:t>
      </w:r>
      <w:r w:rsidRPr="00BD1C5D">
        <w:rPr>
          <w:b/>
          <w:bCs/>
          <w:sz w:val="24"/>
        </w:rPr>
        <w:tab/>
        <w:t>Variances.</w:t>
      </w:r>
    </w:p>
    <w:p w14:paraId="44EFD3C7" w14:textId="77777777" w:rsidR="0023059B" w:rsidRPr="00BD1C5D" w:rsidRDefault="0023059B" w:rsidP="0023059B">
      <w:pPr>
        <w:pStyle w:val="Footer"/>
        <w:tabs>
          <w:tab w:val="clear" w:pos="4320"/>
          <w:tab w:val="clear" w:pos="8640"/>
          <w:tab w:val="left" w:pos="630"/>
        </w:tabs>
        <w:spacing w:before="60" w:after="60"/>
        <w:ind w:left="630" w:hanging="360"/>
        <w:jc w:val="both"/>
        <w:rPr>
          <w:bCs/>
          <w:sz w:val="24"/>
        </w:rPr>
      </w:pPr>
      <w:r w:rsidRPr="00BD1C5D">
        <w:rPr>
          <w:bCs/>
          <w:sz w:val="24"/>
        </w:rPr>
        <w:t>A.</w:t>
      </w:r>
      <w:r w:rsidRPr="00BD1C5D">
        <w:rPr>
          <w:bCs/>
          <w:sz w:val="24"/>
        </w:rPr>
        <w:tab/>
      </w:r>
      <w:r w:rsidRPr="00BD1C5D">
        <w:rPr>
          <w:b/>
          <w:bCs/>
          <w:i/>
          <w:sz w:val="24"/>
        </w:rPr>
        <w:t>Types of Variances</w:t>
      </w:r>
      <w:r w:rsidRPr="00BD1C5D">
        <w:rPr>
          <w:bCs/>
          <w:sz w:val="24"/>
        </w:rPr>
        <w:t xml:space="preserve">.  The Zoning Board of Adjustment </w:t>
      </w:r>
      <w:r w:rsidRPr="00BD1C5D">
        <w:rPr>
          <w:bCs/>
          <w:sz w:val="24"/>
          <w:szCs w:val="24"/>
        </w:rPr>
        <w:t>may</w:t>
      </w:r>
      <w:r w:rsidRPr="00BD1C5D">
        <w:rPr>
          <w:bCs/>
          <w:color w:val="FF0000"/>
          <w:sz w:val="24"/>
          <w:szCs w:val="24"/>
        </w:rPr>
        <w:t xml:space="preserve"> </w:t>
      </w:r>
      <w:r w:rsidRPr="00BD1C5D">
        <w:rPr>
          <w:bCs/>
          <w:sz w:val="24"/>
        </w:rPr>
        <w:t>grant variances from the requirements of this ordinance as provided for in state law.</w:t>
      </w:r>
    </w:p>
    <w:p w14:paraId="3F9C5B13" w14:textId="77777777" w:rsidR="0023059B" w:rsidRPr="00BD1C5D" w:rsidRDefault="0023059B" w:rsidP="0023059B">
      <w:pPr>
        <w:pStyle w:val="Footer"/>
        <w:tabs>
          <w:tab w:val="clear" w:pos="4320"/>
          <w:tab w:val="clear" w:pos="8640"/>
          <w:tab w:val="left" w:pos="630"/>
        </w:tabs>
        <w:spacing w:before="60" w:after="60"/>
        <w:ind w:left="630" w:hanging="360"/>
        <w:jc w:val="both"/>
        <w:rPr>
          <w:b/>
          <w:bCs/>
          <w:i/>
          <w:strike/>
          <w:sz w:val="24"/>
          <w:szCs w:val="24"/>
        </w:rPr>
      </w:pPr>
      <w:r w:rsidRPr="00BD1C5D">
        <w:rPr>
          <w:bCs/>
          <w:sz w:val="24"/>
        </w:rPr>
        <w:t>B.</w:t>
      </w:r>
      <w:r w:rsidRPr="00BD1C5D">
        <w:rPr>
          <w:bCs/>
          <w:sz w:val="24"/>
        </w:rPr>
        <w:tab/>
      </w:r>
      <w:r w:rsidRPr="00BD1C5D">
        <w:rPr>
          <w:b/>
          <w:bCs/>
          <w:i/>
          <w:sz w:val="24"/>
        </w:rPr>
        <w:t>Standards for the Granting of Variances</w:t>
      </w:r>
      <w:r w:rsidRPr="00BD1C5D">
        <w:rPr>
          <w:bCs/>
          <w:sz w:val="24"/>
        </w:rPr>
        <w:t>.  The Zoning Board of Adjustment shall grant a variance only if it finds that the request meets the criteria set forth in state law.</w:t>
      </w:r>
    </w:p>
    <w:p w14:paraId="6C5EC350" w14:textId="77777777" w:rsidR="0023059B" w:rsidRPr="00BD1C5D" w:rsidRDefault="0023059B" w:rsidP="0023059B">
      <w:pPr>
        <w:pStyle w:val="Footer"/>
        <w:tabs>
          <w:tab w:val="clear" w:pos="4320"/>
          <w:tab w:val="clear" w:pos="8640"/>
          <w:tab w:val="left" w:pos="630"/>
        </w:tabs>
        <w:spacing w:before="60" w:after="60"/>
        <w:ind w:left="630" w:hanging="360"/>
        <w:jc w:val="both"/>
        <w:rPr>
          <w:bCs/>
          <w:sz w:val="24"/>
        </w:rPr>
      </w:pPr>
      <w:r w:rsidRPr="00BD1C5D">
        <w:rPr>
          <w:bCs/>
          <w:sz w:val="24"/>
        </w:rPr>
        <w:t>C.</w:t>
      </w:r>
      <w:r w:rsidRPr="00BD1C5D">
        <w:rPr>
          <w:bCs/>
          <w:sz w:val="24"/>
        </w:rPr>
        <w:tab/>
      </w:r>
      <w:r w:rsidRPr="00BD1C5D">
        <w:rPr>
          <w:b/>
          <w:bCs/>
          <w:i/>
          <w:sz w:val="24"/>
        </w:rPr>
        <w:t>Accommodation of Persons with a Recognized Physical Disability</w:t>
      </w:r>
      <w:r w:rsidRPr="00BD1C5D">
        <w:rPr>
          <w:bCs/>
          <w:sz w:val="24"/>
        </w:rPr>
        <w:t>.  The Zoning Board of Adjustment may grant a variance from the dimensional standards of this ordinance without finding a hardship when reasonable accommodations are necessary to allow a person or persons with a recognized physical disability to reside in or regularly use the premises, provided that:</w:t>
      </w:r>
    </w:p>
    <w:p w14:paraId="0A77C4FC" w14:textId="77777777" w:rsidR="0023059B" w:rsidRPr="00BD1C5D" w:rsidRDefault="0023059B" w:rsidP="0023059B">
      <w:pPr>
        <w:pStyle w:val="Footer"/>
        <w:tabs>
          <w:tab w:val="clear" w:pos="4320"/>
          <w:tab w:val="clear" w:pos="8640"/>
          <w:tab w:val="left" w:pos="990"/>
        </w:tabs>
        <w:spacing w:before="60" w:after="60"/>
        <w:ind w:left="990" w:hanging="360"/>
        <w:jc w:val="both"/>
        <w:rPr>
          <w:bCs/>
          <w:sz w:val="24"/>
        </w:rPr>
      </w:pPr>
      <w:r w:rsidRPr="00BD1C5D">
        <w:rPr>
          <w:bCs/>
          <w:sz w:val="24"/>
        </w:rPr>
        <w:t xml:space="preserve">1. </w:t>
      </w:r>
      <w:r w:rsidRPr="00BD1C5D">
        <w:rPr>
          <w:bCs/>
          <w:sz w:val="24"/>
        </w:rPr>
        <w:tab/>
        <w:t>Any variance granted under this paragraph shall be in harmony with the general purpose and intent of the zoning ordinance.</w:t>
      </w:r>
    </w:p>
    <w:p w14:paraId="2FCCA0D5" w14:textId="77777777" w:rsidR="0023059B" w:rsidRPr="00BD1C5D" w:rsidRDefault="0023059B" w:rsidP="0023059B">
      <w:pPr>
        <w:pStyle w:val="Footer"/>
        <w:tabs>
          <w:tab w:val="clear" w:pos="4320"/>
          <w:tab w:val="clear" w:pos="8640"/>
          <w:tab w:val="left" w:pos="990"/>
        </w:tabs>
        <w:spacing w:before="60" w:after="60"/>
        <w:ind w:left="990" w:hanging="360"/>
        <w:jc w:val="both"/>
        <w:rPr>
          <w:bCs/>
          <w:sz w:val="24"/>
        </w:rPr>
      </w:pPr>
      <w:r w:rsidRPr="00BD1C5D">
        <w:rPr>
          <w:bCs/>
          <w:sz w:val="24"/>
        </w:rPr>
        <w:t xml:space="preserve">2. </w:t>
      </w:r>
      <w:r w:rsidRPr="00BD1C5D">
        <w:rPr>
          <w:bCs/>
          <w:sz w:val="24"/>
        </w:rPr>
        <w:tab/>
        <w:t xml:space="preserve">In granting any variance under this paragraph, the Zoning Board of Adjustment may provide, in a finding included in the variance, that the variance shall survive only so long as the </w:t>
      </w:r>
      <w:proofErr w:type="gramStart"/>
      <w:r w:rsidRPr="00BD1C5D">
        <w:rPr>
          <w:bCs/>
          <w:sz w:val="24"/>
        </w:rPr>
        <w:t>particular person</w:t>
      </w:r>
      <w:proofErr w:type="gramEnd"/>
      <w:r w:rsidRPr="00BD1C5D">
        <w:rPr>
          <w:bCs/>
          <w:sz w:val="24"/>
        </w:rPr>
        <w:t xml:space="preserve"> has a continuing need to use the premises. </w:t>
      </w:r>
    </w:p>
    <w:p w14:paraId="5842E870" w14:textId="77777777" w:rsidR="0023059B" w:rsidRPr="00674653" w:rsidRDefault="0023059B" w:rsidP="0023059B">
      <w:pPr>
        <w:pStyle w:val="Articlenumber"/>
        <w:numPr>
          <w:ilvl w:val="0"/>
          <w:numId w:val="1"/>
        </w:numPr>
        <w:tabs>
          <w:tab w:val="clear" w:pos="274"/>
          <w:tab w:val="clear" w:pos="634"/>
          <w:tab w:val="clear" w:pos="720"/>
        </w:tabs>
        <w:spacing w:before="60" w:after="60"/>
        <w:ind w:left="630"/>
        <w:jc w:val="both"/>
        <w:rPr>
          <w:b w:val="0"/>
          <w:szCs w:val="24"/>
        </w:rPr>
      </w:pPr>
      <w:r w:rsidRPr="00674653">
        <w:rPr>
          <w:bCs/>
          <w:i/>
          <w:szCs w:val="24"/>
        </w:rPr>
        <w:t>Variances from</w:t>
      </w:r>
      <w:r w:rsidRPr="00674653">
        <w:rPr>
          <w:bCs/>
          <w:szCs w:val="24"/>
        </w:rPr>
        <w:t xml:space="preserve"> </w:t>
      </w:r>
      <w:r w:rsidRPr="00674653">
        <w:rPr>
          <w:bCs/>
          <w:i/>
          <w:szCs w:val="24"/>
        </w:rPr>
        <w:t>Flood Hazard Overlay District Provisions</w:t>
      </w:r>
      <w:r w:rsidRPr="00674653">
        <w:rPr>
          <w:bCs/>
          <w:szCs w:val="24"/>
        </w:rPr>
        <w:t>.</w:t>
      </w:r>
      <w:r w:rsidRPr="00674653">
        <w:rPr>
          <w:b w:val="0"/>
          <w:szCs w:val="24"/>
        </w:rPr>
        <w:t xml:space="preserve">  For applications for a variance from the provisions of Article XV, the applicant shall have the burden of showing, in addition to the usual variance standards, the following:</w:t>
      </w:r>
    </w:p>
    <w:p w14:paraId="19DC0175" w14:textId="77777777" w:rsidR="0023059B" w:rsidRPr="00BD1C5D" w:rsidRDefault="0023059B" w:rsidP="0023059B">
      <w:pPr>
        <w:pStyle w:val="Articlenumber"/>
        <w:tabs>
          <w:tab w:val="clear" w:pos="274"/>
          <w:tab w:val="clear" w:pos="634"/>
        </w:tabs>
        <w:spacing w:before="60" w:after="60"/>
        <w:ind w:left="990" w:hanging="360"/>
        <w:jc w:val="both"/>
        <w:rPr>
          <w:b w:val="0"/>
          <w:szCs w:val="24"/>
        </w:rPr>
      </w:pPr>
      <w:r w:rsidRPr="00BD1C5D">
        <w:rPr>
          <w:b w:val="0"/>
          <w:szCs w:val="24"/>
        </w:rPr>
        <w:t>1.</w:t>
      </w:r>
      <w:r>
        <w:rPr>
          <w:b w:val="0"/>
          <w:szCs w:val="24"/>
        </w:rPr>
        <w:tab/>
      </w:r>
      <w:r w:rsidRPr="00BD1C5D">
        <w:rPr>
          <w:b w:val="0"/>
          <w:szCs w:val="24"/>
        </w:rPr>
        <w:t>The variance will not result in increased flood heights, additional threats to public safety, or extraordinary public expense.</w:t>
      </w:r>
    </w:p>
    <w:p w14:paraId="2830A725" w14:textId="77777777" w:rsidR="0023059B" w:rsidRPr="00BD1C5D" w:rsidRDefault="0023059B" w:rsidP="0023059B">
      <w:pPr>
        <w:pStyle w:val="Articlenumber"/>
        <w:tabs>
          <w:tab w:val="clear" w:pos="274"/>
          <w:tab w:val="clear" w:pos="634"/>
          <w:tab w:val="left" w:pos="720"/>
        </w:tabs>
        <w:spacing w:before="60" w:after="60"/>
        <w:ind w:left="990" w:hanging="360"/>
        <w:jc w:val="both"/>
        <w:rPr>
          <w:b w:val="0"/>
          <w:szCs w:val="24"/>
        </w:rPr>
      </w:pPr>
      <w:r w:rsidRPr="00BD1C5D">
        <w:rPr>
          <w:b w:val="0"/>
          <w:szCs w:val="24"/>
        </w:rPr>
        <w:t xml:space="preserve">2. </w:t>
      </w:r>
      <w:r>
        <w:rPr>
          <w:b w:val="0"/>
          <w:szCs w:val="24"/>
        </w:rPr>
        <w:tab/>
      </w:r>
      <w:r w:rsidRPr="00BD1C5D">
        <w:rPr>
          <w:b w:val="0"/>
          <w:szCs w:val="24"/>
        </w:rPr>
        <w:t>If the variance is for activity within a designated regulatory floodway, no increase in flood levels during the base flood discharge will result.</w:t>
      </w:r>
    </w:p>
    <w:p w14:paraId="6D88EE69" w14:textId="77777777" w:rsidR="0023059B" w:rsidRPr="00BD1C5D" w:rsidRDefault="0023059B" w:rsidP="0023059B">
      <w:pPr>
        <w:pStyle w:val="Articlenumber"/>
        <w:tabs>
          <w:tab w:val="clear" w:pos="274"/>
          <w:tab w:val="clear" w:pos="634"/>
          <w:tab w:val="left" w:pos="720"/>
        </w:tabs>
        <w:spacing w:before="60" w:after="60"/>
        <w:ind w:left="990" w:hanging="360"/>
        <w:jc w:val="both"/>
        <w:rPr>
          <w:b w:val="0"/>
          <w:szCs w:val="24"/>
        </w:rPr>
      </w:pPr>
      <w:r w:rsidRPr="00BD1C5D">
        <w:rPr>
          <w:b w:val="0"/>
          <w:szCs w:val="24"/>
        </w:rPr>
        <w:t xml:space="preserve">3. </w:t>
      </w:r>
      <w:r>
        <w:rPr>
          <w:b w:val="0"/>
          <w:szCs w:val="24"/>
        </w:rPr>
        <w:tab/>
      </w:r>
      <w:r w:rsidRPr="00BD1C5D">
        <w:rPr>
          <w:b w:val="0"/>
          <w:szCs w:val="24"/>
        </w:rPr>
        <w:t>The variance is the minimum necessary considering the flood hazard, to afford relief.</w:t>
      </w:r>
    </w:p>
    <w:p w14:paraId="392F2649" w14:textId="77777777" w:rsidR="0023059B" w:rsidRPr="00BD1C5D" w:rsidRDefault="0023059B" w:rsidP="0023059B">
      <w:pPr>
        <w:pStyle w:val="Articlenumber"/>
        <w:tabs>
          <w:tab w:val="clear" w:pos="274"/>
          <w:tab w:val="clear" w:pos="634"/>
        </w:tabs>
        <w:spacing w:before="60" w:after="60"/>
        <w:ind w:left="630"/>
        <w:jc w:val="both"/>
        <w:rPr>
          <w:b w:val="0"/>
          <w:szCs w:val="24"/>
        </w:rPr>
      </w:pPr>
      <w:r w:rsidRPr="00BD1C5D">
        <w:rPr>
          <w:b w:val="0"/>
          <w:szCs w:val="24"/>
        </w:rPr>
        <w:t>The Zoning Board of Adjustment shall notify the applicant in writing that:</w:t>
      </w:r>
    </w:p>
    <w:p w14:paraId="60DC86F9" w14:textId="77777777" w:rsidR="0023059B" w:rsidRPr="00BD1C5D" w:rsidRDefault="0023059B" w:rsidP="0023059B">
      <w:pPr>
        <w:pStyle w:val="Articlenumber"/>
        <w:numPr>
          <w:ilvl w:val="0"/>
          <w:numId w:val="2"/>
        </w:numPr>
        <w:tabs>
          <w:tab w:val="clear" w:pos="274"/>
          <w:tab w:val="clear" w:pos="634"/>
          <w:tab w:val="clear" w:pos="1080"/>
          <w:tab w:val="left" w:pos="720"/>
        </w:tabs>
        <w:spacing w:before="60" w:after="60"/>
        <w:ind w:left="990"/>
        <w:jc w:val="both"/>
        <w:rPr>
          <w:b w:val="0"/>
          <w:szCs w:val="24"/>
        </w:rPr>
      </w:pPr>
      <w:r w:rsidRPr="00BD1C5D">
        <w:rPr>
          <w:b w:val="0"/>
          <w:szCs w:val="24"/>
        </w:rPr>
        <w:t>The issuance of a variance to construct below the base flood level will result in increased premium rates for flood insurance up to amounts as high as $25 for $100 of insurance coverage, and</w:t>
      </w:r>
    </w:p>
    <w:p w14:paraId="0732F11A" w14:textId="77777777" w:rsidR="0023059B" w:rsidRPr="00BD1C5D" w:rsidRDefault="0023059B" w:rsidP="0023059B">
      <w:pPr>
        <w:pStyle w:val="Articlenumber"/>
        <w:tabs>
          <w:tab w:val="clear" w:pos="274"/>
          <w:tab w:val="clear" w:pos="634"/>
          <w:tab w:val="left" w:pos="1080"/>
        </w:tabs>
        <w:spacing w:before="60" w:after="60"/>
        <w:ind w:left="990" w:hanging="360"/>
        <w:jc w:val="both"/>
        <w:rPr>
          <w:b w:val="0"/>
          <w:szCs w:val="24"/>
        </w:rPr>
      </w:pPr>
      <w:r w:rsidRPr="00BD1C5D">
        <w:rPr>
          <w:b w:val="0"/>
          <w:szCs w:val="24"/>
        </w:rPr>
        <w:t xml:space="preserve">2. </w:t>
      </w:r>
      <w:r w:rsidRPr="00BD1C5D">
        <w:rPr>
          <w:b w:val="0"/>
          <w:szCs w:val="24"/>
        </w:rPr>
        <w:tab/>
        <w:t>Such construction below the base flood level increases risks to life and property.</w:t>
      </w:r>
    </w:p>
    <w:p w14:paraId="48582279" w14:textId="77777777" w:rsidR="0023059B" w:rsidRPr="00BD1C5D" w:rsidRDefault="0023059B" w:rsidP="0023059B">
      <w:pPr>
        <w:pStyle w:val="Footer"/>
        <w:tabs>
          <w:tab w:val="clear" w:pos="4320"/>
          <w:tab w:val="clear" w:pos="8640"/>
        </w:tabs>
        <w:spacing w:before="60" w:after="60"/>
        <w:ind w:left="630"/>
        <w:jc w:val="both"/>
        <w:rPr>
          <w:bCs/>
          <w:sz w:val="24"/>
          <w:u w:val="single"/>
        </w:rPr>
      </w:pPr>
      <w:r w:rsidRPr="00BD1C5D">
        <w:rPr>
          <w:sz w:val="24"/>
          <w:szCs w:val="24"/>
        </w:rPr>
        <w:t>Such notification shall be maintained with a record of all variance actions.</w:t>
      </w:r>
    </w:p>
    <w:p w14:paraId="782F665A" w14:textId="77777777" w:rsidR="0023059B" w:rsidRPr="00674653" w:rsidRDefault="0023059B" w:rsidP="0023059B">
      <w:pPr>
        <w:pStyle w:val="Footer"/>
        <w:tabs>
          <w:tab w:val="clear" w:pos="4320"/>
          <w:tab w:val="clear" w:pos="8640"/>
        </w:tabs>
        <w:spacing w:before="60" w:after="60"/>
        <w:ind w:left="630"/>
        <w:jc w:val="both"/>
        <w:rPr>
          <w:bCs/>
          <w:sz w:val="24"/>
          <w:szCs w:val="24"/>
        </w:rPr>
      </w:pPr>
      <w:r w:rsidRPr="00BD1C5D">
        <w:rPr>
          <w:bCs/>
          <w:sz w:val="24"/>
          <w:szCs w:val="24"/>
        </w:rPr>
        <w:t>The Town shall maintain a record of all variance actions, including the justification for their</w:t>
      </w:r>
      <w:r>
        <w:rPr>
          <w:bCs/>
          <w:sz w:val="24"/>
          <w:szCs w:val="24"/>
        </w:rPr>
        <w:t xml:space="preserve"> </w:t>
      </w:r>
      <w:r w:rsidRPr="00BD1C5D">
        <w:rPr>
          <w:bCs/>
          <w:sz w:val="24"/>
          <w:szCs w:val="24"/>
        </w:rPr>
        <w:t>issuance, and report such variances issued in its annual or biennial report submitted to FEMA’s</w:t>
      </w:r>
      <w:r>
        <w:rPr>
          <w:bCs/>
          <w:sz w:val="24"/>
          <w:szCs w:val="24"/>
        </w:rPr>
        <w:t xml:space="preserve"> </w:t>
      </w:r>
      <w:r w:rsidRPr="00BD1C5D">
        <w:rPr>
          <w:bCs/>
          <w:sz w:val="24"/>
          <w:szCs w:val="24"/>
        </w:rPr>
        <w:t>Flood Insurance Administrator.</w:t>
      </w:r>
    </w:p>
    <w:p w14:paraId="4D768833" w14:textId="77777777" w:rsidR="0023059B" w:rsidRPr="00BD1C5D" w:rsidRDefault="0023059B" w:rsidP="0023059B">
      <w:pPr>
        <w:pStyle w:val="Footer"/>
        <w:tabs>
          <w:tab w:val="clear" w:pos="4320"/>
          <w:tab w:val="clear" w:pos="8640"/>
          <w:tab w:val="left" w:pos="900"/>
        </w:tabs>
        <w:spacing w:before="240" w:after="120"/>
        <w:jc w:val="both"/>
        <w:rPr>
          <w:b/>
          <w:bCs/>
          <w:sz w:val="24"/>
        </w:rPr>
      </w:pPr>
      <w:r w:rsidRPr="00BD1C5D">
        <w:rPr>
          <w:b/>
          <w:bCs/>
          <w:sz w:val="24"/>
        </w:rPr>
        <w:t>175-26.</w:t>
      </w:r>
      <w:r w:rsidRPr="00BD1C5D">
        <w:rPr>
          <w:b/>
          <w:bCs/>
          <w:sz w:val="24"/>
        </w:rPr>
        <w:tab/>
        <w:t>Special Exceptions.</w:t>
      </w:r>
    </w:p>
    <w:p w14:paraId="5753EFF5" w14:textId="77777777" w:rsidR="0023059B" w:rsidRPr="00BD1C5D" w:rsidRDefault="0023059B" w:rsidP="0023059B">
      <w:pPr>
        <w:pStyle w:val="Footer"/>
        <w:tabs>
          <w:tab w:val="clear" w:pos="4320"/>
          <w:tab w:val="clear" w:pos="8640"/>
          <w:tab w:val="left" w:pos="630"/>
        </w:tabs>
        <w:ind w:left="630" w:hanging="360"/>
        <w:jc w:val="both"/>
        <w:rPr>
          <w:color w:val="000000"/>
          <w:sz w:val="24"/>
          <w:szCs w:val="24"/>
        </w:rPr>
      </w:pPr>
      <w:r w:rsidRPr="00BD1C5D">
        <w:rPr>
          <w:color w:val="000000"/>
          <w:sz w:val="24"/>
          <w:szCs w:val="24"/>
        </w:rPr>
        <w:t>A.</w:t>
      </w:r>
      <w:r w:rsidRPr="00BD1C5D">
        <w:rPr>
          <w:color w:val="000000"/>
          <w:sz w:val="24"/>
          <w:szCs w:val="24"/>
        </w:rPr>
        <w:tab/>
      </w:r>
      <w:r w:rsidRPr="00BD1C5D">
        <w:rPr>
          <w:b/>
          <w:i/>
          <w:color w:val="000000"/>
          <w:sz w:val="24"/>
          <w:szCs w:val="24"/>
        </w:rPr>
        <w:t>Criteria for the Granting of Special Exceptions</w:t>
      </w:r>
      <w:r w:rsidRPr="00BD1C5D">
        <w:rPr>
          <w:color w:val="000000"/>
          <w:sz w:val="24"/>
          <w:szCs w:val="24"/>
        </w:rPr>
        <w:t xml:space="preserve">.  </w:t>
      </w:r>
      <w:r w:rsidRPr="00BD1C5D">
        <w:rPr>
          <w:color w:val="000000"/>
          <w:sz w:val="25"/>
          <w:szCs w:val="25"/>
        </w:rPr>
        <w:t xml:space="preserve">The Zoning Board of Adjustment </w:t>
      </w:r>
      <w:r w:rsidRPr="00BD1C5D">
        <w:rPr>
          <w:sz w:val="25"/>
          <w:szCs w:val="25"/>
        </w:rPr>
        <w:t xml:space="preserve">is authorized to grant a special exception in accordance with RSA 674:33 IV, as amended. The board </w:t>
      </w:r>
      <w:r w:rsidRPr="00BD1C5D">
        <w:rPr>
          <w:color w:val="000000"/>
          <w:sz w:val="25"/>
          <w:szCs w:val="25"/>
        </w:rPr>
        <w:t xml:space="preserve">shall grant a special exception </w:t>
      </w:r>
      <w:r w:rsidRPr="00BD1C5D">
        <w:rPr>
          <w:sz w:val="25"/>
          <w:szCs w:val="25"/>
        </w:rPr>
        <w:t>if, and</w:t>
      </w:r>
      <w:r w:rsidRPr="00BD1C5D">
        <w:rPr>
          <w:color w:val="0070C0"/>
          <w:sz w:val="25"/>
          <w:szCs w:val="25"/>
        </w:rPr>
        <w:t xml:space="preserve"> </w:t>
      </w:r>
      <w:r w:rsidRPr="00BD1C5D">
        <w:rPr>
          <w:color w:val="000000"/>
          <w:sz w:val="25"/>
          <w:szCs w:val="25"/>
        </w:rPr>
        <w:t xml:space="preserve">only if, it finds that </w:t>
      </w:r>
      <w:proofErr w:type="gramStart"/>
      <w:r w:rsidRPr="00BD1C5D">
        <w:rPr>
          <w:color w:val="000000"/>
          <w:sz w:val="25"/>
          <w:szCs w:val="25"/>
        </w:rPr>
        <w:t>all of</w:t>
      </w:r>
      <w:proofErr w:type="gramEnd"/>
      <w:r w:rsidRPr="00BD1C5D">
        <w:rPr>
          <w:color w:val="000000"/>
          <w:sz w:val="25"/>
          <w:szCs w:val="25"/>
        </w:rPr>
        <w:t xml:space="preserve"> the following </w:t>
      </w:r>
      <w:r w:rsidRPr="00BD1C5D">
        <w:rPr>
          <w:sz w:val="25"/>
          <w:szCs w:val="25"/>
        </w:rPr>
        <w:t>general</w:t>
      </w:r>
      <w:r w:rsidRPr="00BD1C5D">
        <w:rPr>
          <w:color w:val="0070C0"/>
          <w:sz w:val="25"/>
          <w:szCs w:val="25"/>
        </w:rPr>
        <w:t xml:space="preserve"> </w:t>
      </w:r>
      <w:r w:rsidRPr="00BD1C5D">
        <w:rPr>
          <w:color w:val="000000"/>
          <w:sz w:val="25"/>
          <w:szCs w:val="25"/>
        </w:rPr>
        <w:t>criteria</w:t>
      </w:r>
      <w:r w:rsidRPr="00BD1C5D">
        <w:rPr>
          <w:sz w:val="25"/>
          <w:szCs w:val="25"/>
        </w:rPr>
        <w:t xml:space="preserve">, along with additional specific criteria for </w:t>
      </w:r>
      <w:proofErr w:type="gramStart"/>
      <w:r w:rsidRPr="00BD1C5D">
        <w:rPr>
          <w:sz w:val="25"/>
          <w:szCs w:val="25"/>
        </w:rPr>
        <w:t>particular uses</w:t>
      </w:r>
      <w:proofErr w:type="gramEnd"/>
      <w:r w:rsidRPr="00BD1C5D">
        <w:rPr>
          <w:sz w:val="25"/>
          <w:szCs w:val="25"/>
        </w:rPr>
        <w:t xml:space="preserve"> and activities given elsewhere,</w:t>
      </w:r>
      <w:r w:rsidRPr="00BD1C5D">
        <w:rPr>
          <w:color w:val="0070C0"/>
          <w:sz w:val="25"/>
          <w:szCs w:val="25"/>
        </w:rPr>
        <w:t xml:space="preserve"> </w:t>
      </w:r>
      <w:r w:rsidRPr="00BD1C5D">
        <w:rPr>
          <w:color w:val="000000"/>
          <w:sz w:val="25"/>
          <w:szCs w:val="25"/>
        </w:rPr>
        <w:t xml:space="preserve">are met.  </w:t>
      </w:r>
      <w:r w:rsidRPr="00BD1C5D">
        <w:rPr>
          <w:sz w:val="25"/>
          <w:szCs w:val="25"/>
        </w:rPr>
        <w:t>The</w:t>
      </w:r>
      <w:r w:rsidRPr="00BD1C5D">
        <w:rPr>
          <w:color w:val="000000"/>
          <w:sz w:val="25"/>
          <w:szCs w:val="25"/>
        </w:rPr>
        <w:t xml:space="preserve"> following are conditions of all special exceptions.</w:t>
      </w:r>
    </w:p>
    <w:p w14:paraId="4A296544" w14:textId="77777777" w:rsidR="0023059B" w:rsidRPr="00BD1C5D" w:rsidRDefault="0023059B" w:rsidP="0023059B">
      <w:pPr>
        <w:pStyle w:val="Outlinenumber"/>
        <w:rPr>
          <w:color w:val="000000"/>
          <w:szCs w:val="24"/>
        </w:rPr>
      </w:pPr>
      <w:r w:rsidRPr="00BD1C5D">
        <w:rPr>
          <w:color w:val="000000"/>
          <w:szCs w:val="24"/>
        </w:rPr>
        <w:lastRenderedPageBreak/>
        <w:tab/>
      </w:r>
      <w:r w:rsidRPr="00BD1C5D">
        <w:rPr>
          <w:color w:val="000000"/>
          <w:szCs w:val="24"/>
        </w:rPr>
        <w:tab/>
        <w:t>1.</w:t>
      </w:r>
      <w:r w:rsidRPr="00BD1C5D">
        <w:rPr>
          <w:color w:val="000000"/>
          <w:szCs w:val="24"/>
        </w:rPr>
        <w:tab/>
        <w:t>That the use will not be detrimental to the character or enjoyment of the neighborhood by reason of undue variation from the kind and nature of other uses in the vicinity or by reason of obvious and adverse violation of the character or appearance of the neighborhood.</w:t>
      </w:r>
    </w:p>
    <w:p w14:paraId="311EC4AF" w14:textId="77777777" w:rsidR="0023059B" w:rsidRPr="00BD1C5D" w:rsidRDefault="0023059B" w:rsidP="0023059B">
      <w:pPr>
        <w:pStyle w:val="Outlinenumber"/>
        <w:rPr>
          <w:color w:val="000000"/>
          <w:szCs w:val="24"/>
        </w:rPr>
      </w:pPr>
      <w:r w:rsidRPr="00BD1C5D">
        <w:rPr>
          <w:color w:val="000000"/>
          <w:szCs w:val="24"/>
        </w:rPr>
        <w:tab/>
      </w:r>
      <w:r w:rsidRPr="00BD1C5D">
        <w:rPr>
          <w:color w:val="000000"/>
          <w:szCs w:val="24"/>
        </w:rPr>
        <w:tab/>
        <w:t>2.</w:t>
      </w:r>
      <w:r w:rsidRPr="00BD1C5D">
        <w:rPr>
          <w:color w:val="000000"/>
          <w:szCs w:val="24"/>
        </w:rPr>
        <w:tab/>
        <w:t xml:space="preserve">That the use will not be injurious or noxious and thus detrimental to the neighborhood by reason of any of the causes stated in Part B. </w:t>
      </w:r>
      <w:r w:rsidRPr="00BD1C5D">
        <w:rPr>
          <w:sz w:val="25"/>
          <w:szCs w:val="25"/>
        </w:rPr>
        <w:t xml:space="preserve">Zoning Districts (See Table of Contents) </w:t>
      </w:r>
      <w:r w:rsidRPr="00BD1C5D">
        <w:rPr>
          <w:color w:val="000000"/>
          <w:szCs w:val="24"/>
        </w:rPr>
        <w:t>of this chapter.</w:t>
      </w:r>
    </w:p>
    <w:p w14:paraId="046C4565" w14:textId="77777777" w:rsidR="0023059B" w:rsidRPr="00BD1C5D" w:rsidRDefault="0023059B" w:rsidP="0023059B">
      <w:pPr>
        <w:pStyle w:val="Outlinenumber"/>
        <w:rPr>
          <w:color w:val="000000"/>
          <w:szCs w:val="24"/>
        </w:rPr>
      </w:pPr>
      <w:r w:rsidRPr="00BD1C5D">
        <w:rPr>
          <w:color w:val="000000"/>
          <w:szCs w:val="24"/>
        </w:rPr>
        <w:tab/>
      </w:r>
      <w:r w:rsidRPr="00BD1C5D">
        <w:rPr>
          <w:color w:val="000000"/>
          <w:szCs w:val="24"/>
        </w:rPr>
        <w:tab/>
        <w:t>3.</w:t>
      </w:r>
      <w:r w:rsidRPr="00BD1C5D">
        <w:rPr>
          <w:color w:val="000000"/>
          <w:szCs w:val="24"/>
        </w:rPr>
        <w:tab/>
        <w:t>That the use will not be contrary to the public health, safety or welfare by reason of undue traffic congestion or hazards, undue risk to life or property, unsanitary or unhealthful emissions or waste disposal, excessive noise, or comparable adverse causes, impacts, or conditions</w:t>
      </w:r>
      <w:r w:rsidRPr="00BD1C5D">
        <w:rPr>
          <w:color w:val="000000"/>
          <w:sz w:val="25"/>
          <w:szCs w:val="25"/>
        </w:rPr>
        <w:t>.</w:t>
      </w:r>
    </w:p>
    <w:bookmarkEnd w:id="0"/>
    <w:p w14:paraId="48AEE2AC" w14:textId="77777777" w:rsidR="0023059B" w:rsidRDefault="0023059B" w:rsidP="0023059B">
      <w:pPr>
        <w:pStyle w:val="Footer"/>
        <w:tabs>
          <w:tab w:val="clear" w:pos="4320"/>
          <w:tab w:val="clear" w:pos="8640"/>
          <w:tab w:val="left" w:pos="900"/>
        </w:tabs>
        <w:ind w:left="630" w:hanging="630"/>
        <w:jc w:val="both"/>
        <w:rPr>
          <w:b/>
          <w:sz w:val="24"/>
        </w:rPr>
      </w:pPr>
    </w:p>
    <w:p w14:paraId="5105C6BE" w14:textId="77777777" w:rsidR="002A6DA3" w:rsidRDefault="002A6DA3"/>
    <w:sectPr w:rsidR="002A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D3BF6"/>
    <w:multiLevelType w:val="hybridMultilevel"/>
    <w:tmpl w:val="D20CC05E"/>
    <w:lvl w:ilvl="0" w:tplc="23364614">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2ED56D6"/>
    <w:multiLevelType w:val="hybridMultilevel"/>
    <w:tmpl w:val="2C008544"/>
    <w:lvl w:ilvl="0" w:tplc="4ED012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41575750">
    <w:abstractNumId w:val="0"/>
  </w:num>
  <w:num w:numId="2" w16cid:durableId="67981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B"/>
    <w:rsid w:val="00230070"/>
    <w:rsid w:val="0023059B"/>
    <w:rsid w:val="002A6DA3"/>
    <w:rsid w:val="00671E91"/>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1C99"/>
  <w15:chartTrackingRefBased/>
  <w15:docId w15:val="{663253F0-527F-4340-B0C2-EA7C7367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59B"/>
    <w:rPr>
      <w:rFonts w:eastAsiaTheme="majorEastAsia" w:cstheme="majorBidi"/>
      <w:color w:val="272727" w:themeColor="text1" w:themeTint="D8"/>
    </w:rPr>
  </w:style>
  <w:style w:type="paragraph" w:styleId="Title">
    <w:name w:val="Title"/>
    <w:basedOn w:val="Normal"/>
    <w:next w:val="Normal"/>
    <w:link w:val="TitleChar"/>
    <w:uiPriority w:val="10"/>
    <w:qFormat/>
    <w:rsid w:val="00230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59B"/>
    <w:pPr>
      <w:spacing w:before="160"/>
      <w:jc w:val="center"/>
    </w:pPr>
    <w:rPr>
      <w:i/>
      <w:iCs/>
      <w:color w:val="404040" w:themeColor="text1" w:themeTint="BF"/>
    </w:rPr>
  </w:style>
  <w:style w:type="character" w:customStyle="1" w:styleId="QuoteChar">
    <w:name w:val="Quote Char"/>
    <w:basedOn w:val="DefaultParagraphFont"/>
    <w:link w:val="Quote"/>
    <w:uiPriority w:val="29"/>
    <w:rsid w:val="0023059B"/>
    <w:rPr>
      <w:i/>
      <w:iCs/>
      <w:color w:val="404040" w:themeColor="text1" w:themeTint="BF"/>
    </w:rPr>
  </w:style>
  <w:style w:type="paragraph" w:styleId="ListParagraph">
    <w:name w:val="List Paragraph"/>
    <w:basedOn w:val="Normal"/>
    <w:uiPriority w:val="34"/>
    <w:qFormat/>
    <w:rsid w:val="0023059B"/>
    <w:pPr>
      <w:ind w:left="720"/>
      <w:contextualSpacing/>
    </w:pPr>
  </w:style>
  <w:style w:type="character" w:styleId="IntenseEmphasis">
    <w:name w:val="Intense Emphasis"/>
    <w:basedOn w:val="DefaultParagraphFont"/>
    <w:uiPriority w:val="21"/>
    <w:qFormat/>
    <w:rsid w:val="0023059B"/>
    <w:rPr>
      <w:i/>
      <w:iCs/>
      <w:color w:val="0F4761" w:themeColor="accent1" w:themeShade="BF"/>
    </w:rPr>
  </w:style>
  <w:style w:type="paragraph" w:styleId="IntenseQuote">
    <w:name w:val="Intense Quote"/>
    <w:basedOn w:val="Normal"/>
    <w:next w:val="Normal"/>
    <w:link w:val="IntenseQuoteChar"/>
    <w:uiPriority w:val="30"/>
    <w:qFormat/>
    <w:rsid w:val="00230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59B"/>
    <w:rPr>
      <w:i/>
      <w:iCs/>
      <w:color w:val="0F4761" w:themeColor="accent1" w:themeShade="BF"/>
    </w:rPr>
  </w:style>
  <w:style w:type="character" w:styleId="IntenseReference">
    <w:name w:val="Intense Reference"/>
    <w:basedOn w:val="DefaultParagraphFont"/>
    <w:uiPriority w:val="32"/>
    <w:qFormat/>
    <w:rsid w:val="0023059B"/>
    <w:rPr>
      <w:b/>
      <w:bCs/>
      <w:smallCaps/>
      <w:color w:val="0F4761" w:themeColor="accent1" w:themeShade="BF"/>
      <w:spacing w:val="5"/>
    </w:rPr>
  </w:style>
  <w:style w:type="paragraph" w:styleId="Footer">
    <w:name w:val="footer"/>
    <w:basedOn w:val="Normal"/>
    <w:link w:val="FooterChar"/>
    <w:uiPriority w:val="99"/>
    <w:rsid w:val="0023059B"/>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23059B"/>
    <w:rPr>
      <w:rFonts w:ascii="Times New Roman" w:eastAsia="Times New Roman" w:hAnsi="Times New Roman" w:cs="Times New Roman"/>
      <w:kern w:val="0"/>
      <w:sz w:val="20"/>
      <w:szCs w:val="20"/>
      <w14:ligatures w14:val="none"/>
    </w:rPr>
  </w:style>
  <w:style w:type="paragraph" w:customStyle="1" w:styleId="Articlenumber">
    <w:name w:val="Article number"/>
    <w:basedOn w:val="Normal"/>
    <w:rsid w:val="0023059B"/>
    <w:pPr>
      <w:tabs>
        <w:tab w:val="left" w:pos="-1440"/>
        <w:tab w:val="left" w:pos="-720"/>
        <w:tab w:val="left" w:pos="274"/>
        <w:tab w:val="left" w:pos="634"/>
      </w:tabs>
      <w:suppressAutoHyphens/>
      <w:spacing w:before="120" w:after="0" w:line="240" w:lineRule="auto"/>
      <w:jc w:val="center"/>
    </w:pPr>
    <w:rPr>
      <w:rFonts w:ascii="Times New Roman" w:eastAsia="Times New Roman" w:hAnsi="Times New Roman" w:cs="Times New Roman"/>
      <w:b/>
      <w:spacing w:val="-3"/>
      <w:kern w:val="0"/>
      <w:szCs w:val="20"/>
      <w14:ligatures w14:val="none"/>
    </w:rPr>
  </w:style>
  <w:style w:type="paragraph" w:customStyle="1" w:styleId="Outlinenumber">
    <w:name w:val="Outline number"/>
    <w:basedOn w:val="Normal"/>
    <w:rsid w:val="0023059B"/>
    <w:pPr>
      <w:tabs>
        <w:tab w:val="left" w:pos="-1440"/>
        <w:tab w:val="left" w:pos="-720"/>
        <w:tab w:val="left" w:pos="274"/>
        <w:tab w:val="left" w:pos="634"/>
        <w:tab w:val="left" w:pos="936"/>
      </w:tabs>
      <w:suppressAutoHyphens/>
      <w:spacing w:before="120" w:after="60" w:line="240" w:lineRule="auto"/>
      <w:ind w:left="936" w:hanging="936"/>
      <w:jc w:val="both"/>
    </w:pPr>
    <w:rPr>
      <w:rFonts w:ascii="Times New Roman" w:eastAsia="Times New Roman" w:hAnsi="Times New Roman" w:cs="Times New Roman"/>
      <w:spacing w:val="-3"/>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2025-10-27T19:18:00Z</dcterms:created>
  <dcterms:modified xsi:type="dcterms:W3CDTF">2025-10-27T19:18:00Z</dcterms:modified>
</cp:coreProperties>
</file>